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8C49" w14:textId="77777777" w:rsidR="00647776" w:rsidRPr="00242529" w:rsidRDefault="00EB547C" w:rsidP="00D15012">
      <w:pPr>
        <w:pStyle w:val="Heading4"/>
        <w:spacing w:before="0"/>
      </w:pPr>
      <w:r w:rsidRPr="00242529">
        <w:t>S</w:t>
      </w:r>
      <w:r w:rsidR="009B7364" w:rsidRPr="00242529">
        <w:t>yfte</w:t>
      </w:r>
    </w:p>
    <w:p w14:paraId="1067B629" w14:textId="10D3C974" w:rsidR="007E268A" w:rsidRDefault="00EB547C" w:rsidP="00C358B5">
      <w:pPr>
        <w:rPr>
          <w:szCs w:val="18"/>
        </w:rPr>
      </w:pPr>
      <w:r w:rsidRPr="00242529">
        <w:rPr>
          <w:szCs w:val="18"/>
        </w:rPr>
        <w:t>Detta faktablad ger dig basfakta om denna investeringsprodukt. Det är inte reklammaterial. Informationen krävs enligt lag för att hjälpa dig att förstå produktens egenskaper, risker, kostnader, möjliga vinster och för att hjälpa dig att jämföra den med andra produkter.</w:t>
      </w:r>
    </w:p>
    <w:p w14:paraId="27E41992" w14:textId="7DFBB213" w:rsidR="005B2AA8" w:rsidRPr="005B2AA8" w:rsidRDefault="005B2AA8" w:rsidP="005B2AA8">
      <w:pPr>
        <w:pStyle w:val="Heading4"/>
      </w:pPr>
      <w:r>
        <w:t>Produkt</w:t>
      </w:r>
    </w:p>
    <w:p w14:paraId="51BB41DE" w14:textId="0FD996A5" w:rsidR="007D2060" w:rsidRPr="003E2F1A" w:rsidRDefault="007D2060" w:rsidP="00C358B5">
      <w:pPr>
        <w:rPr>
          <w:szCs w:val="18"/>
        </w:rPr>
      </w:pPr>
      <w:r w:rsidRPr="00242529">
        <w:rPr>
          <w:b/>
          <w:bCs/>
          <w:szCs w:val="18"/>
        </w:rPr>
        <w:t>Produktnamn</w:t>
      </w:r>
      <w:r w:rsidRPr="00242529">
        <w:rPr>
          <w:szCs w:val="18"/>
        </w:rPr>
        <w:tab/>
      </w:r>
      <w:r w:rsidRPr="00242529">
        <w:rPr>
          <w:szCs w:val="18"/>
        </w:rPr>
        <w:tab/>
      </w:r>
      <w:r w:rsidRPr="003E2F1A">
        <w:rPr>
          <w:b/>
          <w:bCs/>
          <w:sz w:val="22"/>
          <w:szCs w:val="22"/>
        </w:rPr>
        <w:t>Cliens Sverige Fokus A</w:t>
      </w:r>
      <w:r w:rsidR="003E2F1A" w:rsidRPr="003E2F1A">
        <w:rPr>
          <w:b/>
          <w:bCs/>
          <w:szCs w:val="18"/>
        </w:rPr>
        <w:br/>
      </w:r>
      <w:r w:rsidR="003E2F1A">
        <w:rPr>
          <w:szCs w:val="18"/>
        </w:rPr>
        <w:t xml:space="preserve"> </w:t>
      </w:r>
      <w:r w:rsidR="003E2F1A">
        <w:rPr>
          <w:szCs w:val="18"/>
        </w:rPr>
        <w:tab/>
      </w:r>
      <w:r w:rsidR="003E2F1A">
        <w:rPr>
          <w:szCs w:val="18"/>
        </w:rPr>
        <w:tab/>
        <w:t>Cliens Kapitalförvaltning AB</w:t>
      </w:r>
    </w:p>
    <w:p w14:paraId="109A65EB" w14:textId="378A4510" w:rsidR="007D2060" w:rsidRPr="00242529" w:rsidRDefault="007D2060" w:rsidP="00863DD7">
      <w:pPr>
        <w:spacing w:after="120"/>
        <w:rPr>
          <w:szCs w:val="18"/>
        </w:rPr>
      </w:pPr>
      <w:r w:rsidRPr="00242529">
        <w:rPr>
          <w:b/>
          <w:bCs/>
          <w:szCs w:val="18"/>
        </w:rPr>
        <w:t>ISIN</w:t>
      </w:r>
      <w:r w:rsidRPr="00242529">
        <w:rPr>
          <w:szCs w:val="18"/>
        </w:rPr>
        <w:t xml:space="preserve"> </w:t>
      </w:r>
      <w:r w:rsidRPr="00242529">
        <w:rPr>
          <w:szCs w:val="18"/>
        </w:rPr>
        <w:tab/>
      </w:r>
      <w:r w:rsidRPr="00242529">
        <w:rPr>
          <w:szCs w:val="18"/>
        </w:rPr>
        <w:tab/>
        <w:t>SE0003910314</w:t>
      </w:r>
    </w:p>
    <w:p w14:paraId="4E884CD4" w14:textId="3D7FB7E8" w:rsidR="007D2060" w:rsidRPr="00242529" w:rsidRDefault="007D2060" w:rsidP="00C358B5">
      <w:r w:rsidRPr="00242529">
        <w:rPr>
          <w:szCs w:val="18"/>
        </w:rPr>
        <w:t>(</w:t>
      </w:r>
      <w:hyperlink r:id="rId8" w:history="1">
        <w:r w:rsidRPr="00242529">
          <w:rPr>
            <w:rStyle w:val="Hyperlink"/>
            <w:szCs w:val="18"/>
          </w:rPr>
          <w:t>www.cliens.se</w:t>
        </w:r>
      </w:hyperlink>
      <w:r w:rsidRPr="00242529">
        <w:rPr>
          <w:szCs w:val="18"/>
        </w:rPr>
        <w:t xml:space="preserve">), ring 08-506 503 99 för mer information. </w:t>
      </w:r>
      <w:r w:rsidR="00863DD7">
        <w:rPr>
          <w:szCs w:val="18"/>
        </w:rPr>
        <w:br/>
      </w:r>
      <w:r w:rsidRPr="00242529">
        <w:rPr>
          <w:szCs w:val="18"/>
        </w:rPr>
        <w:t xml:space="preserve">Finansinspektionen är ansvarig för tillsynen av Cliens Kapitalförvaltning AB </w:t>
      </w:r>
      <w:r w:rsidR="003D584D">
        <w:rPr>
          <w:szCs w:val="18"/>
        </w:rPr>
        <w:t xml:space="preserve">gällande </w:t>
      </w:r>
      <w:r w:rsidRPr="00242529">
        <w:rPr>
          <w:szCs w:val="18"/>
        </w:rPr>
        <w:t xml:space="preserve">detta faktablad. Denna </w:t>
      </w:r>
      <w:proofErr w:type="spellStart"/>
      <w:r w:rsidRPr="00242529">
        <w:rPr>
          <w:szCs w:val="18"/>
        </w:rPr>
        <w:t>Priip</w:t>
      </w:r>
      <w:proofErr w:type="spellEnd"/>
      <w:r w:rsidRPr="00242529">
        <w:rPr>
          <w:szCs w:val="18"/>
        </w:rPr>
        <w:t>-produkt är auktoriserad i Sverige och förvaltas av Cliens Kapitalförvaltning AB. Cliens Kapitalförvaltning AB är auktoriserat i Sverige och regleras av Finansinspektionen. Faktabladet upprättades 202</w:t>
      </w:r>
      <w:r w:rsidR="00C75A06">
        <w:rPr>
          <w:szCs w:val="18"/>
        </w:rPr>
        <w:t>5</w:t>
      </w:r>
      <w:r w:rsidR="003A20EC">
        <w:rPr>
          <w:szCs w:val="18"/>
        </w:rPr>
        <w:t>-0</w:t>
      </w:r>
      <w:r w:rsidR="00FD1FEE">
        <w:rPr>
          <w:szCs w:val="18"/>
        </w:rPr>
        <w:t>6-11</w:t>
      </w:r>
      <w:r w:rsidRPr="00242529">
        <w:rPr>
          <w:szCs w:val="18"/>
        </w:rPr>
        <w:t>.</w:t>
      </w:r>
    </w:p>
    <w:p w14:paraId="2049200B" w14:textId="19E4F95E" w:rsidR="007D2060" w:rsidRPr="00242529" w:rsidRDefault="009B7364" w:rsidP="007D2060">
      <w:pPr>
        <w:pStyle w:val="Heading4"/>
      </w:pPr>
      <w:r w:rsidRPr="00242529">
        <w:t>Vad innebär produkten?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03"/>
      </w:tblGrid>
      <w:tr w:rsidR="007D2060" w:rsidRPr="00242529" w14:paraId="107F3055" w14:textId="77777777" w:rsidTr="00A87452">
        <w:tc>
          <w:tcPr>
            <w:tcW w:w="1701" w:type="dxa"/>
          </w:tcPr>
          <w:p w14:paraId="21AB2CE3" w14:textId="776D5CF8" w:rsidR="007D2060" w:rsidRPr="00242529" w:rsidRDefault="007D2060" w:rsidP="000A2B19">
            <w:r w:rsidRPr="00242529">
              <w:rPr>
                <w:b/>
                <w:bCs/>
                <w:szCs w:val="18"/>
              </w:rPr>
              <w:t>Typ</w:t>
            </w:r>
          </w:p>
        </w:tc>
        <w:tc>
          <w:tcPr>
            <w:tcW w:w="8503" w:type="dxa"/>
          </w:tcPr>
          <w:p w14:paraId="65993079" w14:textId="77777777" w:rsidR="007D2060" w:rsidRPr="00242529" w:rsidRDefault="007D2060" w:rsidP="000A2B19">
            <w:pPr>
              <w:rPr>
                <w:szCs w:val="18"/>
              </w:rPr>
            </w:pPr>
            <w:r w:rsidRPr="00242529">
              <w:rPr>
                <w:szCs w:val="18"/>
              </w:rPr>
              <w:t>Specialfond</w:t>
            </w:r>
          </w:p>
          <w:p w14:paraId="3EE5C9E5" w14:textId="3A33859A" w:rsidR="007D2060" w:rsidRPr="00242529" w:rsidRDefault="007D2060" w:rsidP="0000186C"/>
        </w:tc>
      </w:tr>
      <w:tr w:rsidR="007D2060" w:rsidRPr="00242529" w14:paraId="09F8ACA5" w14:textId="77777777" w:rsidTr="00A87452">
        <w:tc>
          <w:tcPr>
            <w:tcW w:w="1701" w:type="dxa"/>
          </w:tcPr>
          <w:p w14:paraId="7A6DF40F" w14:textId="6B50AD16" w:rsidR="007D2060" w:rsidRPr="00242529" w:rsidRDefault="007D2060" w:rsidP="000A2B19">
            <w:r w:rsidRPr="00242529">
              <w:rPr>
                <w:b/>
                <w:bCs/>
                <w:szCs w:val="18"/>
              </w:rPr>
              <w:t>Löptid</w:t>
            </w:r>
          </w:p>
        </w:tc>
        <w:tc>
          <w:tcPr>
            <w:tcW w:w="8503" w:type="dxa"/>
          </w:tcPr>
          <w:p w14:paraId="3CEF3C93" w14:textId="77777777" w:rsidR="007D2060" w:rsidRPr="00242529" w:rsidRDefault="007D2060" w:rsidP="000A2B19">
            <w:pPr>
              <w:rPr>
                <w:szCs w:val="18"/>
              </w:rPr>
            </w:pPr>
            <w:r w:rsidRPr="00242529">
              <w:rPr>
                <w:szCs w:val="18"/>
              </w:rPr>
              <w:t>Fonden har ingen förfallodag. Fondbolaget har rätt att stänga fonden och lösa in andelarna, se information i informationsbroschyren.</w:t>
            </w:r>
          </w:p>
          <w:p w14:paraId="6738D2B7" w14:textId="2356E469" w:rsidR="007D2060" w:rsidRPr="00242529" w:rsidRDefault="007D2060" w:rsidP="000A2B19">
            <w:pPr>
              <w:rPr>
                <w:sz w:val="2"/>
                <w:szCs w:val="2"/>
              </w:rPr>
            </w:pPr>
          </w:p>
        </w:tc>
      </w:tr>
      <w:tr w:rsidR="007D2060" w:rsidRPr="00242529" w14:paraId="630C89D8" w14:textId="77777777" w:rsidTr="00A87452">
        <w:tc>
          <w:tcPr>
            <w:tcW w:w="1701" w:type="dxa"/>
          </w:tcPr>
          <w:p w14:paraId="2403FA94" w14:textId="32E703C3" w:rsidR="007D2060" w:rsidRPr="00242529" w:rsidRDefault="007D2060" w:rsidP="000A2B19">
            <w:r w:rsidRPr="00242529">
              <w:rPr>
                <w:b/>
                <w:bCs/>
                <w:szCs w:val="18"/>
              </w:rPr>
              <w:t>Mål</w:t>
            </w:r>
          </w:p>
        </w:tc>
        <w:tc>
          <w:tcPr>
            <w:tcW w:w="8503" w:type="dxa"/>
          </w:tcPr>
          <w:p w14:paraId="24B48E82" w14:textId="04A1E18A" w:rsidR="00A87452" w:rsidRPr="00242529" w:rsidRDefault="007D2060" w:rsidP="007D2060">
            <w:r w:rsidRPr="00242529">
              <w:t xml:space="preserve">Fonden är aktivt förvaltad och placerar minst 90 % av Fondens medel i svenska bolag. Fonden är en specialfond vilket innebär att den har en mer koncentrerad aktieportfölj med normalt </w:t>
            </w:r>
            <w:proofErr w:type="gramStart"/>
            <w:r w:rsidRPr="00242529">
              <w:t>20-30</w:t>
            </w:r>
            <w:proofErr w:type="gramEnd"/>
            <w:r w:rsidRPr="00242529">
              <w:t xml:space="preserve"> innehav. Målet med förvaltningen är att genom god riskspridning uppnå en god värdetillväxt i fonden. Fonden kommer alltid att placera minst 75 % av tillgångarna i börsnoterade aktier och kan placera upp till 25 % av tillgångarna i ränterelaterade finansiella instrument med vilka menas </w:t>
            </w:r>
            <w:proofErr w:type="gramStart"/>
            <w:r w:rsidRPr="00242529">
              <w:t>bl.a.</w:t>
            </w:r>
            <w:proofErr w:type="gramEnd"/>
            <w:r w:rsidRPr="00242529">
              <w:t xml:space="preserve"> statsobligationer, bostadsobligationer, företagscertifikat, statsskuldsväxlar samt placering på konto hos kreditinstitut.</w:t>
            </w:r>
          </w:p>
          <w:p w14:paraId="5FAD0E3A" w14:textId="77777777" w:rsidR="00A87452" w:rsidRPr="00242529" w:rsidRDefault="00A87452" w:rsidP="007D2060">
            <w:pPr>
              <w:rPr>
                <w:sz w:val="2"/>
                <w:szCs w:val="2"/>
              </w:rPr>
            </w:pPr>
          </w:p>
          <w:p w14:paraId="03AB256D" w14:textId="399FCABA" w:rsidR="00A87452" w:rsidRPr="00242529" w:rsidRDefault="007D2060" w:rsidP="007D2060">
            <w:r w:rsidRPr="00242529">
              <w:t xml:space="preserve">Inom ramen för Fondens placeringsinriktning beaktas internationella normer och urvalet av aktier i Fonden baseras på en kombination av finansiell analys och ESG analys, </w:t>
            </w:r>
            <w:r w:rsidR="0051478F" w:rsidRPr="00242529">
              <w:t>d.v.s.</w:t>
            </w:r>
            <w:r w:rsidRPr="00242529">
              <w:t xml:space="preserve"> analys av hur bolagen hanterar risker när det gäller miljö, socialt ansvar och ägarstyrning. </w:t>
            </w:r>
          </w:p>
          <w:p w14:paraId="186F95ED" w14:textId="77777777" w:rsidR="00A87452" w:rsidRPr="00242529" w:rsidRDefault="00A87452" w:rsidP="007D2060">
            <w:pPr>
              <w:rPr>
                <w:sz w:val="2"/>
                <w:szCs w:val="2"/>
              </w:rPr>
            </w:pPr>
          </w:p>
          <w:p w14:paraId="5E52C051" w14:textId="56EC29AB" w:rsidR="007D2060" w:rsidRPr="00863DD7" w:rsidRDefault="007D2060" w:rsidP="007D2060">
            <w:r w:rsidRPr="00242529">
              <w:t>Fonden</w:t>
            </w:r>
            <w:r w:rsidR="00A7178B">
              <w:t>s andelsklass A</w:t>
            </w:r>
            <w:r w:rsidRPr="00242529">
              <w:t xml:space="preserve"> lämnar normalt inte någon utdelning utan alla inkomster återinvesteras i fonden. Fondens jämförelseindex är SIX Return Index. Fondens avkastning bestäms av hur de aktier som fonden placerar i ökar eller minskar i värde under innehavsperioden. Köp och försäljning av fondandelar kan normalt ske alla vardagar till </w:t>
            </w:r>
            <w:proofErr w:type="spellStart"/>
            <w:r w:rsidRPr="00242529">
              <w:t>kl</w:t>
            </w:r>
            <w:proofErr w:type="spellEnd"/>
            <w:r w:rsidRPr="00242529">
              <w:t xml:space="preserve"> 15.00 genom fondbolaget samt via distributörer</w:t>
            </w:r>
            <w:r w:rsidR="00863DD7">
              <w:t>.</w:t>
            </w:r>
          </w:p>
          <w:p w14:paraId="47B0C1ED" w14:textId="40F3A6CC" w:rsidR="007D2060" w:rsidRPr="00242529" w:rsidRDefault="007D2060" w:rsidP="000A2B19">
            <w:pPr>
              <w:rPr>
                <w:sz w:val="2"/>
                <w:szCs w:val="2"/>
              </w:rPr>
            </w:pPr>
          </w:p>
        </w:tc>
      </w:tr>
      <w:tr w:rsidR="007D2060" w:rsidRPr="00242529" w14:paraId="29997AA4" w14:textId="77777777" w:rsidTr="00A87452">
        <w:tc>
          <w:tcPr>
            <w:tcW w:w="1701" w:type="dxa"/>
          </w:tcPr>
          <w:p w14:paraId="7311211F" w14:textId="4CF5A181" w:rsidR="007D2060" w:rsidRPr="00242529" w:rsidRDefault="007D2060" w:rsidP="000A2B19">
            <w:r w:rsidRPr="00242529">
              <w:rPr>
                <w:b/>
                <w:bCs/>
                <w:szCs w:val="18"/>
              </w:rPr>
              <w:t>Målgrupp</w:t>
            </w:r>
          </w:p>
        </w:tc>
        <w:tc>
          <w:tcPr>
            <w:tcW w:w="8503" w:type="dxa"/>
          </w:tcPr>
          <w:p w14:paraId="10BF1C60" w14:textId="1D931B47" w:rsidR="007D2060" w:rsidRPr="00242529" w:rsidRDefault="00A87452" w:rsidP="00A87452">
            <w:pPr>
              <w:rPr>
                <w:szCs w:val="18"/>
              </w:rPr>
            </w:pPr>
            <w:r w:rsidRPr="00242529">
              <w:rPr>
                <w:szCs w:val="18"/>
              </w:rPr>
              <w:t xml:space="preserve">Denna fond kan vara lämplig för sparare som planerar att behålla sin investering i minst 5 år och som är införstådd med att de pengar som placeras i fonden både kan öka och minska i värde och att det inte är säkert att hela det insatta kapitalet kan återfås. </w:t>
            </w:r>
            <w:r w:rsidR="00E56A3A" w:rsidRPr="00C72D95">
              <w:rPr>
                <w:szCs w:val="18"/>
              </w:rPr>
              <w:t>För att investera i den här fonden bör du ha grundläggande eller högre kunskaper om fonder. En investerare med grundläggande kunskaper kan ta ett informerat investeringsbeslut när denne tagit del av dokumentation om fonden eller fått grundläggande information av försäljaren/rådgivaren</w:t>
            </w:r>
            <w:r w:rsidRPr="00242529">
              <w:rPr>
                <w:szCs w:val="18"/>
              </w:rPr>
              <w:t>.</w:t>
            </w:r>
          </w:p>
          <w:p w14:paraId="7330938D" w14:textId="27A8C5F5" w:rsidR="007D2060" w:rsidRPr="00242529" w:rsidRDefault="007D2060" w:rsidP="000A2B19">
            <w:pPr>
              <w:rPr>
                <w:sz w:val="2"/>
                <w:szCs w:val="2"/>
              </w:rPr>
            </w:pPr>
          </w:p>
        </w:tc>
      </w:tr>
      <w:tr w:rsidR="007D2060" w:rsidRPr="00242529" w14:paraId="3605D250" w14:textId="77777777" w:rsidTr="00C745F7">
        <w:tc>
          <w:tcPr>
            <w:tcW w:w="1701" w:type="dxa"/>
          </w:tcPr>
          <w:p w14:paraId="0002A725" w14:textId="692D8015" w:rsidR="007D2060" w:rsidRPr="005B2AA8" w:rsidRDefault="005B2AA8" w:rsidP="000A2B19">
            <w:r>
              <w:rPr>
                <w:b/>
                <w:bCs/>
                <w:szCs w:val="18"/>
              </w:rPr>
              <w:t>Övrig information</w:t>
            </w:r>
          </w:p>
        </w:tc>
        <w:tc>
          <w:tcPr>
            <w:tcW w:w="8503" w:type="dxa"/>
          </w:tcPr>
          <w:p w14:paraId="1DF66574" w14:textId="36D72536" w:rsidR="007D2060" w:rsidRPr="00242529" w:rsidRDefault="00A87452" w:rsidP="000A2B19">
            <w:r w:rsidRPr="00242529">
              <w:t xml:space="preserve">Förvaringsinstitut: Skandinaviska Enskilda Banken AB. Årsberättelse, halvårsredogörelse, informationsbroschyr, senaste andelsvärde samt övrig praktisk information finns att tillgå kostnadsfritt på svenska på </w:t>
            </w:r>
            <w:hyperlink r:id="rId9" w:history="1">
              <w:r w:rsidRPr="00242529">
                <w:rPr>
                  <w:rStyle w:val="Hyperlink"/>
                </w:rPr>
                <w:t>www.cliens.se</w:t>
              </w:r>
            </w:hyperlink>
            <w:r w:rsidRPr="00242529">
              <w:t xml:space="preserve"> </w:t>
            </w:r>
          </w:p>
          <w:p w14:paraId="00D2E773" w14:textId="0EB05696" w:rsidR="007D2060" w:rsidRPr="00242529" w:rsidRDefault="007D2060" w:rsidP="000A2B19">
            <w:pPr>
              <w:rPr>
                <w:sz w:val="2"/>
                <w:szCs w:val="2"/>
              </w:rPr>
            </w:pPr>
          </w:p>
        </w:tc>
      </w:tr>
    </w:tbl>
    <w:p w14:paraId="4F81CED8" w14:textId="77777777" w:rsidR="007D2060" w:rsidRPr="00242529" w:rsidRDefault="007D2060" w:rsidP="00A25F20">
      <w:pPr>
        <w:rPr>
          <w:sz w:val="4"/>
          <w:szCs w:val="4"/>
        </w:rPr>
        <w:sectPr w:rsidR="007D2060" w:rsidRPr="00242529" w:rsidSect="00311037">
          <w:headerReference w:type="default" r:id="rId10"/>
          <w:footerReference w:type="default" r:id="rId11"/>
          <w:headerReference w:type="first" r:id="rId12"/>
          <w:footerReference w:type="first" r:id="rId13"/>
          <w:type w:val="continuous"/>
          <w:pgSz w:w="11906" w:h="16838" w:code="9"/>
          <w:pgMar w:top="1134" w:right="851" w:bottom="1134" w:left="851" w:header="567" w:footer="567" w:gutter="0"/>
          <w:cols w:space="567"/>
          <w:docGrid w:linePitch="360"/>
        </w:sectPr>
      </w:pPr>
    </w:p>
    <w:p w14:paraId="553A6D8E" w14:textId="77777777" w:rsidR="00A7178B" w:rsidRPr="00242529" w:rsidRDefault="00A7178B" w:rsidP="00A7178B">
      <w:pPr>
        <w:pStyle w:val="Heading4"/>
        <w:spacing w:before="40" w:after="0"/>
        <w:sectPr w:rsidR="00A7178B" w:rsidRPr="00242529" w:rsidSect="007D2060">
          <w:type w:val="continuous"/>
          <w:pgSz w:w="11906" w:h="16838" w:code="9"/>
          <w:pgMar w:top="1134" w:right="851" w:bottom="1134" w:left="851" w:header="567" w:footer="567" w:gutter="0"/>
          <w:cols w:space="567"/>
          <w:docGrid w:linePitch="360"/>
        </w:sectPr>
      </w:pPr>
      <w:r w:rsidRPr="00242529">
        <w:t>Vilka är riskerna och vad kan jag få för avkastning?</w:t>
      </w:r>
      <w:r w:rsidRPr="00242529">
        <w:br/>
      </w:r>
    </w:p>
    <w:tbl>
      <w:tblPr>
        <w:tblStyle w:val="TableGrid"/>
        <w:tblW w:w="4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
        <w:gridCol w:w="867"/>
        <w:gridCol w:w="3178"/>
        <w:gridCol w:w="278"/>
      </w:tblGrid>
      <w:tr w:rsidR="00A7178B" w:rsidRPr="00242529" w14:paraId="386E315D" w14:textId="77777777" w:rsidTr="00F101DF">
        <w:trPr>
          <w:trHeight w:val="411"/>
        </w:trPr>
        <w:tc>
          <w:tcPr>
            <w:tcW w:w="4611" w:type="dxa"/>
            <w:gridSpan w:val="4"/>
          </w:tcPr>
          <w:tbl>
            <w:tblPr>
              <w:tblStyle w:val="Tabellrutnt1"/>
              <w:tblpPr w:leftFromText="141" w:rightFromText="141"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77"/>
              <w:gridCol w:w="77"/>
              <w:gridCol w:w="577"/>
              <w:gridCol w:w="86"/>
              <w:gridCol w:w="577"/>
              <w:gridCol w:w="86"/>
              <w:gridCol w:w="577"/>
              <w:gridCol w:w="86"/>
              <w:gridCol w:w="577"/>
              <w:gridCol w:w="86"/>
              <w:gridCol w:w="577"/>
              <w:gridCol w:w="86"/>
              <w:gridCol w:w="577"/>
            </w:tblGrid>
            <w:tr w:rsidR="00A7178B" w:rsidRPr="00242529" w14:paraId="5C56FFAD" w14:textId="77777777" w:rsidTr="00FD1FEE">
              <w:trPr>
                <w:trHeight w:hRule="exact" w:val="283"/>
              </w:trPr>
              <w:tc>
                <w:tcPr>
                  <w:tcW w:w="577" w:type="dxa"/>
                  <w:tcBorders>
                    <w:top w:val="single" w:sz="4" w:space="0" w:color="595959" w:themeColor="text2"/>
                    <w:left w:val="single" w:sz="4" w:space="0" w:color="595959" w:themeColor="text2"/>
                    <w:bottom w:val="single" w:sz="4" w:space="0" w:color="595959" w:themeColor="text2"/>
                    <w:right w:val="single" w:sz="4" w:space="0" w:color="595959" w:themeColor="text2"/>
                  </w:tcBorders>
                  <w:vAlign w:val="center"/>
                </w:tcPr>
                <w:p w14:paraId="3D89CE5B" w14:textId="77777777" w:rsidR="00A7178B" w:rsidRPr="00242529" w:rsidRDefault="00A7178B" w:rsidP="00F101DF">
                  <w:pPr>
                    <w:jc w:val="center"/>
                  </w:pPr>
                  <w:r w:rsidRPr="00242529">
                    <w:t>1</w:t>
                  </w:r>
                </w:p>
              </w:tc>
              <w:tc>
                <w:tcPr>
                  <w:tcW w:w="77" w:type="dxa"/>
                  <w:tcBorders>
                    <w:left w:val="single" w:sz="4" w:space="0" w:color="595959" w:themeColor="text2"/>
                    <w:right w:val="single" w:sz="4" w:space="0" w:color="595959" w:themeColor="text2"/>
                  </w:tcBorders>
                  <w:vAlign w:val="center"/>
                </w:tcPr>
                <w:p w14:paraId="6ABE56DE" w14:textId="77777777" w:rsidR="00A7178B" w:rsidRPr="00242529" w:rsidRDefault="00A7178B" w:rsidP="00F101DF">
                  <w:pPr>
                    <w:rPr>
                      <w:sz w:val="8"/>
                      <w:szCs w:val="8"/>
                    </w:rPr>
                  </w:pPr>
                </w:p>
              </w:tc>
              <w:tc>
                <w:tcPr>
                  <w:tcW w:w="577" w:type="dxa"/>
                  <w:tcBorders>
                    <w:top w:val="single" w:sz="4" w:space="0" w:color="595959" w:themeColor="text2"/>
                    <w:left w:val="single" w:sz="4" w:space="0" w:color="595959" w:themeColor="text2"/>
                    <w:bottom w:val="single" w:sz="4" w:space="0" w:color="595959" w:themeColor="text2"/>
                    <w:right w:val="single" w:sz="4" w:space="0" w:color="595959" w:themeColor="text2"/>
                  </w:tcBorders>
                  <w:shd w:val="clear" w:color="auto" w:fill="FFFFFF" w:themeFill="background1"/>
                  <w:vAlign w:val="center"/>
                </w:tcPr>
                <w:p w14:paraId="23176C60" w14:textId="77777777" w:rsidR="00A7178B" w:rsidRPr="00242529" w:rsidRDefault="00A7178B" w:rsidP="00F101DF">
                  <w:pPr>
                    <w:jc w:val="center"/>
                  </w:pPr>
                  <w:r w:rsidRPr="00242529">
                    <w:t>2</w:t>
                  </w:r>
                </w:p>
              </w:tc>
              <w:tc>
                <w:tcPr>
                  <w:tcW w:w="86" w:type="dxa"/>
                  <w:tcBorders>
                    <w:left w:val="single" w:sz="4" w:space="0" w:color="595959" w:themeColor="text2"/>
                    <w:right w:val="single" w:sz="4" w:space="0" w:color="595959" w:themeColor="text2"/>
                  </w:tcBorders>
                  <w:vAlign w:val="center"/>
                </w:tcPr>
                <w:p w14:paraId="54A55DAA" w14:textId="77777777" w:rsidR="00A7178B" w:rsidRPr="00242529" w:rsidRDefault="00A7178B" w:rsidP="00F101DF">
                  <w:pPr>
                    <w:jc w:val="center"/>
                  </w:pPr>
                </w:p>
              </w:tc>
              <w:tc>
                <w:tcPr>
                  <w:tcW w:w="577" w:type="dxa"/>
                  <w:tcBorders>
                    <w:top w:val="single" w:sz="4" w:space="0" w:color="595959" w:themeColor="text2"/>
                    <w:left w:val="single" w:sz="4" w:space="0" w:color="595959" w:themeColor="text2"/>
                    <w:bottom w:val="single" w:sz="4" w:space="0" w:color="595959" w:themeColor="text2"/>
                    <w:right w:val="single" w:sz="4" w:space="0" w:color="595959" w:themeColor="text2"/>
                  </w:tcBorders>
                  <w:vAlign w:val="center"/>
                </w:tcPr>
                <w:p w14:paraId="670724D6" w14:textId="77777777" w:rsidR="00A7178B" w:rsidRPr="00242529" w:rsidRDefault="00A7178B" w:rsidP="00F101DF">
                  <w:pPr>
                    <w:jc w:val="center"/>
                  </w:pPr>
                  <w:r w:rsidRPr="00242529">
                    <w:t>3</w:t>
                  </w:r>
                </w:p>
              </w:tc>
              <w:tc>
                <w:tcPr>
                  <w:tcW w:w="86" w:type="dxa"/>
                  <w:tcBorders>
                    <w:left w:val="single" w:sz="4" w:space="0" w:color="595959" w:themeColor="text2"/>
                    <w:right w:val="single" w:sz="4" w:space="0" w:color="595959" w:themeColor="text2"/>
                  </w:tcBorders>
                  <w:vAlign w:val="center"/>
                </w:tcPr>
                <w:p w14:paraId="181D1D08" w14:textId="77777777" w:rsidR="00A7178B" w:rsidRPr="00242529" w:rsidRDefault="00A7178B" w:rsidP="00F101DF">
                  <w:pPr>
                    <w:jc w:val="center"/>
                  </w:pPr>
                </w:p>
              </w:tc>
              <w:tc>
                <w:tcPr>
                  <w:tcW w:w="577" w:type="dxa"/>
                  <w:tcBorders>
                    <w:top w:val="single" w:sz="4" w:space="0" w:color="595959" w:themeColor="text2"/>
                    <w:left w:val="single" w:sz="4" w:space="0" w:color="595959" w:themeColor="text2"/>
                    <w:bottom w:val="single" w:sz="4" w:space="0" w:color="595959" w:themeColor="text2"/>
                    <w:right w:val="single" w:sz="4" w:space="0" w:color="595959" w:themeColor="text2"/>
                  </w:tcBorders>
                  <w:shd w:val="clear" w:color="auto" w:fill="17365D" w:themeFill="accent1"/>
                  <w:vAlign w:val="center"/>
                </w:tcPr>
                <w:p w14:paraId="2FEF75FA" w14:textId="77777777" w:rsidR="00A7178B" w:rsidRPr="00242529" w:rsidRDefault="00A7178B" w:rsidP="00F101DF">
                  <w:pPr>
                    <w:jc w:val="center"/>
                  </w:pPr>
                  <w:r w:rsidRPr="00242529">
                    <w:t>4</w:t>
                  </w:r>
                </w:p>
              </w:tc>
              <w:tc>
                <w:tcPr>
                  <w:tcW w:w="86" w:type="dxa"/>
                  <w:tcBorders>
                    <w:left w:val="single" w:sz="4" w:space="0" w:color="595959" w:themeColor="text2"/>
                    <w:right w:val="single" w:sz="4" w:space="0" w:color="595959" w:themeColor="text2"/>
                  </w:tcBorders>
                  <w:vAlign w:val="center"/>
                </w:tcPr>
                <w:p w14:paraId="108DC8E5" w14:textId="77777777" w:rsidR="00A7178B" w:rsidRPr="00242529" w:rsidRDefault="00A7178B" w:rsidP="00F101DF">
                  <w:pPr>
                    <w:jc w:val="center"/>
                  </w:pPr>
                </w:p>
              </w:tc>
              <w:tc>
                <w:tcPr>
                  <w:tcW w:w="577" w:type="dxa"/>
                  <w:tcBorders>
                    <w:top w:val="single" w:sz="4" w:space="0" w:color="595959" w:themeColor="text2"/>
                    <w:left w:val="single" w:sz="4" w:space="0" w:color="595959" w:themeColor="text2"/>
                    <w:bottom w:val="single" w:sz="4" w:space="0" w:color="595959" w:themeColor="text2"/>
                    <w:right w:val="single" w:sz="4" w:space="0" w:color="595959" w:themeColor="text2"/>
                  </w:tcBorders>
                  <w:shd w:val="clear" w:color="auto" w:fill="FFFFFF" w:themeFill="background1"/>
                  <w:vAlign w:val="center"/>
                </w:tcPr>
                <w:p w14:paraId="2A60C133" w14:textId="77777777" w:rsidR="00A7178B" w:rsidRPr="00242529" w:rsidRDefault="00A7178B" w:rsidP="00F101DF">
                  <w:pPr>
                    <w:jc w:val="center"/>
                    <w:rPr>
                      <w:b/>
                    </w:rPr>
                  </w:pPr>
                  <w:r w:rsidRPr="00242529">
                    <w:t>5</w:t>
                  </w:r>
                </w:p>
              </w:tc>
              <w:tc>
                <w:tcPr>
                  <w:tcW w:w="86" w:type="dxa"/>
                  <w:tcBorders>
                    <w:left w:val="single" w:sz="4" w:space="0" w:color="595959" w:themeColor="text2"/>
                    <w:right w:val="single" w:sz="4" w:space="0" w:color="595959" w:themeColor="text2"/>
                  </w:tcBorders>
                  <w:vAlign w:val="center"/>
                </w:tcPr>
                <w:p w14:paraId="5CE08A5B" w14:textId="77777777" w:rsidR="00A7178B" w:rsidRPr="00242529" w:rsidRDefault="00A7178B" w:rsidP="00F101DF">
                  <w:pPr>
                    <w:jc w:val="center"/>
                  </w:pPr>
                </w:p>
              </w:tc>
              <w:tc>
                <w:tcPr>
                  <w:tcW w:w="577" w:type="dxa"/>
                  <w:tcBorders>
                    <w:top w:val="single" w:sz="4" w:space="0" w:color="595959" w:themeColor="text2"/>
                    <w:left w:val="single" w:sz="4" w:space="0" w:color="595959" w:themeColor="text2"/>
                    <w:bottom w:val="single" w:sz="4" w:space="0" w:color="595959" w:themeColor="text2"/>
                    <w:right w:val="single" w:sz="4" w:space="0" w:color="595959" w:themeColor="text2"/>
                  </w:tcBorders>
                  <w:shd w:val="clear" w:color="auto" w:fill="FFFFFF" w:themeFill="background1"/>
                  <w:vAlign w:val="center"/>
                </w:tcPr>
                <w:p w14:paraId="2D28B42E" w14:textId="77777777" w:rsidR="00A7178B" w:rsidRPr="00242529" w:rsidRDefault="00A7178B" w:rsidP="00F101DF">
                  <w:pPr>
                    <w:jc w:val="center"/>
                    <w:rPr>
                      <w:bCs/>
                    </w:rPr>
                  </w:pPr>
                  <w:r w:rsidRPr="00242529">
                    <w:rPr>
                      <w:bCs/>
                    </w:rPr>
                    <w:t>6</w:t>
                  </w:r>
                </w:p>
              </w:tc>
              <w:tc>
                <w:tcPr>
                  <w:tcW w:w="86" w:type="dxa"/>
                  <w:tcBorders>
                    <w:left w:val="single" w:sz="4" w:space="0" w:color="595959" w:themeColor="text2"/>
                    <w:right w:val="single" w:sz="4" w:space="0" w:color="595959" w:themeColor="text2"/>
                  </w:tcBorders>
                  <w:vAlign w:val="center"/>
                </w:tcPr>
                <w:p w14:paraId="0D950A80" w14:textId="77777777" w:rsidR="00A7178B" w:rsidRPr="00242529" w:rsidRDefault="00A7178B" w:rsidP="00F101DF">
                  <w:pPr>
                    <w:jc w:val="center"/>
                  </w:pPr>
                </w:p>
              </w:tc>
              <w:tc>
                <w:tcPr>
                  <w:tcW w:w="577" w:type="dxa"/>
                  <w:tcBorders>
                    <w:top w:val="single" w:sz="4" w:space="0" w:color="595959" w:themeColor="text2"/>
                    <w:left w:val="single" w:sz="4" w:space="0" w:color="595959" w:themeColor="text2"/>
                    <w:bottom w:val="single" w:sz="4" w:space="0" w:color="595959" w:themeColor="text2"/>
                    <w:right w:val="single" w:sz="4" w:space="0" w:color="595959" w:themeColor="text2"/>
                  </w:tcBorders>
                  <w:vAlign w:val="center"/>
                </w:tcPr>
                <w:p w14:paraId="29C09669" w14:textId="77777777" w:rsidR="00A7178B" w:rsidRPr="00242529" w:rsidRDefault="00A7178B" w:rsidP="00F101DF">
                  <w:pPr>
                    <w:jc w:val="center"/>
                  </w:pPr>
                  <w:r w:rsidRPr="00242529">
                    <w:t>7</w:t>
                  </w:r>
                </w:p>
              </w:tc>
            </w:tr>
          </w:tbl>
          <w:p w14:paraId="109B7F45" w14:textId="77777777" w:rsidR="00A7178B" w:rsidRPr="00242529" w:rsidRDefault="00A7178B" w:rsidP="00F101DF">
            <w:pPr>
              <w:rPr>
                <w:sz w:val="8"/>
                <w:szCs w:val="8"/>
              </w:rPr>
            </w:pPr>
          </w:p>
        </w:tc>
      </w:tr>
      <w:tr w:rsidR="00A7178B" w:rsidRPr="00242529" w14:paraId="39ADB1A8" w14:textId="77777777" w:rsidTr="00F101DF">
        <w:trPr>
          <w:trHeight w:val="111"/>
        </w:trPr>
        <w:tc>
          <w:tcPr>
            <w:tcW w:w="1155" w:type="dxa"/>
            <w:gridSpan w:val="2"/>
          </w:tcPr>
          <w:p w14:paraId="76689892" w14:textId="77777777" w:rsidR="00A7178B" w:rsidRPr="00242529" w:rsidRDefault="00A7178B" w:rsidP="00F101DF">
            <w:pPr>
              <w:rPr>
                <w:sz w:val="8"/>
                <w:szCs w:val="8"/>
              </w:rPr>
            </w:pPr>
            <w:r w:rsidRPr="00242529">
              <w:rPr>
                <w:noProof/>
                <w:sz w:val="8"/>
                <w:szCs w:val="8"/>
                <w:lang w:eastAsia="sv-SE"/>
              </w:rPr>
              <mc:AlternateContent>
                <mc:Choice Requires="wps">
                  <w:drawing>
                    <wp:anchor distT="0" distB="0" distL="114300" distR="114300" simplePos="0" relativeHeight="251659264" behindDoc="0" locked="0" layoutInCell="1" allowOverlap="1" wp14:anchorId="27B591CA" wp14:editId="7BA6BE0F">
                      <wp:simplePos x="0" y="0"/>
                      <wp:positionH relativeFrom="column">
                        <wp:posOffset>0</wp:posOffset>
                      </wp:positionH>
                      <wp:positionV relativeFrom="paragraph">
                        <wp:posOffset>75565</wp:posOffset>
                      </wp:positionV>
                      <wp:extent cx="2879725" cy="0"/>
                      <wp:effectExtent l="38100" t="76200" r="15875" b="95250"/>
                      <wp:wrapNone/>
                      <wp:docPr id="7" name="Rak pilkoppling 7"/>
                      <wp:cNvGraphicFramePr/>
                      <a:graphic xmlns:a="http://schemas.openxmlformats.org/drawingml/2006/main">
                        <a:graphicData uri="http://schemas.microsoft.com/office/word/2010/wordprocessingShape">
                          <wps:wsp>
                            <wps:cNvCnPr/>
                            <wps:spPr>
                              <a:xfrm>
                                <a:off x="0" y="0"/>
                                <a:ext cx="287972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anchor>
                  </w:drawing>
                </mc:Choice>
                <mc:Fallback>
                  <w:pict>
                    <v:shapetype w14:anchorId="75C106C0" id="_x0000_t32" coordsize="21600,21600" o:spt="32" o:oned="t" path="m,l21600,21600e" filled="f">
                      <v:path arrowok="t" fillok="f" o:connecttype="none"/>
                      <o:lock v:ext="edit" shapetype="t"/>
                    </v:shapetype>
                    <v:shape id="Rak pilkoppling 7" o:spid="_x0000_s1026" type="#_x0000_t32" style="position:absolute;margin-left:0;margin-top:5.95pt;width:226.7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" strokecolor="windowText" strokeweight=".5pt">
                      <v:stroke startarrow="block" endarrow="block" joinstyle="miter"/>
                    </v:shape>
                  </w:pict>
                </mc:Fallback>
              </mc:AlternateContent>
            </w:r>
          </w:p>
        </w:tc>
        <w:tc>
          <w:tcPr>
            <w:tcW w:w="3455" w:type="dxa"/>
            <w:gridSpan w:val="2"/>
          </w:tcPr>
          <w:p w14:paraId="25B20670" w14:textId="77777777" w:rsidR="00A7178B" w:rsidRPr="00242529" w:rsidRDefault="00A7178B" w:rsidP="00F101DF">
            <w:pPr>
              <w:rPr>
                <w:sz w:val="8"/>
                <w:szCs w:val="8"/>
              </w:rPr>
            </w:pPr>
          </w:p>
        </w:tc>
      </w:tr>
      <w:tr w:rsidR="00A7178B" w:rsidRPr="00242529" w14:paraId="25EFB2B3" w14:textId="77777777" w:rsidTr="00F101DF">
        <w:trPr>
          <w:trHeight w:val="50"/>
        </w:trPr>
        <w:tc>
          <w:tcPr>
            <w:tcW w:w="1155" w:type="dxa"/>
            <w:gridSpan w:val="2"/>
          </w:tcPr>
          <w:p w14:paraId="578551FF" w14:textId="77777777" w:rsidR="00A7178B" w:rsidRPr="00242529" w:rsidRDefault="00A7178B" w:rsidP="00F101DF">
            <w:pPr>
              <w:rPr>
                <w:noProof/>
                <w:sz w:val="8"/>
                <w:szCs w:val="8"/>
                <w:lang w:eastAsia="sv-SE"/>
              </w:rPr>
            </w:pPr>
          </w:p>
        </w:tc>
        <w:tc>
          <w:tcPr>
            <w:tcW w:w="3455" w:type="dxa"/>
            <w:gridSpan w:val="2"/>
          </w:tcPr>
          <w:p w14:paraId="30A786EB" w14:textId="77777777" w:rsidR="00A7178B" w:rsidRPr="00242529" w:rsidRDefault="00A7178B" w:rsidP="00F101DF">
            <w:pPr>
              <w:rPr>
                <w:sz w:val="8"/>
                <w:szCs w:val="8"/>
              </w:rPr>
            </w:pPr>
          </w:p>
        </w:tc>
      </w:tr>
      <w:tr w:rsidR="00A7178B" w:rsidRPr="00242529" w14:paraId="5B46D067" w14:textId="77777777" w:rsidTr="00F101DF">
        <w:trPr>
          <w:trHeight w:val="128"/>
        </w:trPr>
        <w:tc>
          <w:tcPr>
            <w:tcW w:w="288" w:type="dxa"/>
          </w:tcPr>
          <w:p w14:paraId="77A741E2" w14:textId="77777777" w:rsidR="00A7178B" w:rsidRPr="00242529" w:rsidRDefault="00A7178B" w:rsidP="00F101DF">
            <w:pPr>
              <w:rPr>
                <w:sz w:val="8"/>
                <w:szCs w:val="8"/>
              </w:rPr>
            </w:pPr>
            <w:r w:rsidRPr="00242529">
              <w:rPr>
                <w:noProof/>
                <w:sz w:val="14"/>
                <w:szCs w:val="14"/>
              </w:rPr>
              <mc:AlternateContent>
                <mc:Choice Requires="wpg">
                  <w:drawing>
                    <wp:anchor distT="0" distB="0" distL="114300" distR="114300" simplePos="0" relativeHeight="251660288" behindDoc="0" locked="0" layoutInCell="1" allowOverlap="1" wp14:anchorId="46D630D2" wp14:editId="221BCD5F">
                      <wp:simplePos x="0" y="0"/>
                      <wp:positionH relativeFrom="column">
                        <wp:posOffset>140970</wp:posOffset>
                      </wp:positionH>
                      <wp:positionV relativeFrom="paragraph">
                        <wp:posOffset>125730</wp:posOffset>
                      </wp:positionV>
                      <wp:extent cx="709295" cy="368300"/>
                      <wp:effectExtent l="0" t="0" r="0" b="0"/>
                      <wp:wrapNone/>
                      <wp:docPr id="10" name="Grupp 10"/>
                      <wp:cNvGraphicFramePr/>
                      <a:graphic xmlns:a="http://schemas.openxmlformats.org/drawingml/2006/main">
                        <a:graphicData uri="http://schemas.microsoft.com/office/word/2010/wordprocessingGroup">
                          <wpg:wgp>
                            <wpg:cNvGrpSpPr/>
                            <wpg:grpSpPr>
                              <a:xfrm>
                                <a:off x="0" y="0"/>
                                <a:ext cx="709295" cy="368300"/>
                                <a:chOff x="0" y="-41720"/>
                                <a:chExt cx="816806" cy="450377"/>
                              </a:xfrm>
                            </wpg:grpSpPr>
                            <wps:wsp>
                              <wps:cNvPr id="8" name="Likbent triangel 8"/>
                              <wps:cNvSpPr/>
                              <wps:spPr>
                                <a:xfrm>
                                  <a:off x="0" y="0"/>
                                  <a:ext cx="464024" cy="354822"/>
                                </a:xfrm>
                                <a:prstGeom prst="triangle">
                                  <a:avLst/>
                                </a:prstGeom>
                                <a:solidFill>
                                  <a:srgbClr val="17365D"/>
                                </a:solidFill>
                                <a:ln w="12700" cap="flat" cmpd="sng" algn="ctr">
                                  <a:noFill/>
                                  <a:prstDash val="solid"/>
                                  <a:miter lim="800000"/>
                                </a:ln>
                                <a:effectLst/>
                              </wps:spPr>
                              <wps:txbx>
                                <w:txbxContent>
                                  <w:p w14:paraId="51AB3DAF" w14:textId="77777777" w:rsidR="00A7178B" w:rsidRPr="00C745F7" w:rsidRDefault="00A7178B" w:rsidP="00A7178B">
                                    <w:pPr>
                                      <w:jc w:val="center"/>
                                      <w:rPr>
                                        <w:color w:val="FFFFFF" w:themeColor="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Textruta 9"/>
                              <wps:cNvSpPr txBox="1"/>
                              <wps:spPr>
                                <a:xfrm>
                                  <a:off x="93474" y="-41720"/>
                                  <a:ext cx="723332" cy="450377"/>
                                </a:xfrm>
                                <a:prstGeom prst="rect">
                                  <a:avLst/>
                                </a:prstGeom>
                                <a:noFill/>
                                <a:ln w="6350">
                                  <a:noFill/>
                                </a:ln>
                              </wps:spPr>
                              <wps:txbx>
                                <w:txbxContent>
                                  <w:p w14:paraId="316A4734" w14:textId="77777777" w:rsidR="00A7178B" w:rsidRPr="00C745F7" w:rsidRDefault="00A7178B" w:rsidP="00A7178B">
                                    <w:pPr>
                                      <w:rPr>
                                        <w:color w:val="FFFFFF" w:themeColor="background1"/>
                                        <w:sz w:val="36"/>
                                        <w:szCs w:val="40"/>
                                      </w:rPr>
                                    </w:pPr>
                                    <w:r w:rsidRPr="00C745F7">
                                      <w:rPr>
                                        <w:color w:val="FFFFFF" w:themeColor="background1"/>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630D2" id="Grupp 10" o:spid="_x0000_s1026" style="position:absolute;margin-left:11.1pt;margin-top:9.9pt;width:55.85pt;height:29pt;z-index:251660288;mso-width-relative:margin;mso-height-relative:margin" coordorigin=",-417" coordsize="8168,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kbent triangel 8" o:spid="_x0000_s1027" type="#_x0000_t5" style="position:absolute;width:4640;height: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" fillcolor="#17365d" stroked="f" strokeweight="1pt">
                        <v:textbox inset="0,0,0,0">
                          <w:txbxContent>
                            <w:p w14:paraId="51AB3DAF" w14:textId="77777777" w:rsidR="00A7178B" w:rsidRPr="00C745F7" w:rsidRDefault="00A7178B" w:rsidP="00A7178B">
                              <w:pPr>
                                <w:jc w:val="center"/>
                                <w:rPr>
                                  <w:color w:val="FFFFFF" w:themeColor="background1"/>
                                </w:rPr>
                              </w:pPr>
                            </w:p>
                          </w:txbxContent>
                        </v:textbox>
                      </v:shape>
                      <v:shapetype id="_x0000_t202" coordsize="21600,21600" o:spt="202" path="m,l,21600r21600,l21600,xe">
                        <v:stroke joinstyle="miter"/>
                        <v:path gradientshapeok="t" o:connecttype="rect"/>
                      </v:shapetype>
                      <v:shape id="Textruta 9" o:spid="_x0000_s1028" type="#_x0000_t202" style="position:absolute;left:934;top:-417;width:7234;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16A4734" w14:textId="77777777" w:rsidR="00A7178B" w:rsidRPr="00C745F7" w:rsidRDefault="00A7178B" w:rsidP="00A7178B">
                              <w:pPr>
                                <w:rPr>
                                  <w:color w:val="FFFFFF" w:themeColor="background1"/>
                                  <w:sz w:val="36"/>
                                  <w:szCs w:val="40"/>
                                </w:rPr>
                              </w:pPr>
                              <w:r w:rsidRPr="00C745F7">
                                <w:rPr>
                                  <w:color w:val="FFFFFF" w:themeColor="background1"/>
                                  <w:sz w:val="36"/>
                                  <w:szCs w:val="40"/>
                                </w:rPr>
                                <w:t>!</w:t>
                              </w:r>
                            </w:p>
                          </w:txbxContent>
                        </v:textbox>
                      </v:shape>
                    </v:group>
                  </w:pict>
                </mc:Fallback>
              </mc:AlternateContent>
            </w:r>
          </w:p>
        </w:tc>
        <w:tc>
          <w:tcPr>
            <w:tcW w:w="867" w:type="dxa"/>
          </w:tcPr>
          <w:p w14:paraId="66977888" w14:textId="77777777" w:rsidR="00A7178B" w:rsidRPr="00242529" w:rsidRDefault="00A7178B" w:rsidP="00F101DF">
            <w:pPr>
              <w:rPr>
                <w:sz w:val="8"/>
                <w:szCs w:val="8"/>
              </w:rPr>
            </w:pPr>
            <w:r w:rsidRPr="00242529">
              <w:rPr>
                <w:sz w:val="14"/>
                <w:szCs w:val="14"/>
              </w:rPr>
              <w:t>LÄGRE RISK</w:t>
            </w:r>
          </w:p>
        </w:tc>
        <w:tc>
          <w:tcPr>
            <w:tcW w:w="3178" w:type="dxa"/>
          </w:tcPr>
          <w:p w14:paraId="5BF7D5F1" w14:textId="77777777" w:rsidR="00A7178B" w:rsidRPr="00242529" w:rsidRDefault="00A7178B" w:rsidP="00F101DF">
            <w:pPr>
              <w:jc w:val="right"/>
              <w:rPr>
                <w:sz w:val="8"/>
                <w:szCs w:val="8"/>
              </w:rPr>
            </w:pPr>
            <w:r w:rsidRPr="00242529">
              <w:rPr>
                <w:sz w:val="14"/>
                <w:szCs w:val="14"/>
              </w:rPr>
              <w:t>HÖGRE RISK</w:t>
            </w:r>
          </w:p>
        </w:tc>
        <w:tc>
          <w:tcPr>
            <w:tcW w:w="277" w:type="dxa"/>
          </w:tcPr>
          <w:p w14:paraId="4DD764E7" w14:textId="77777777" w:rsidR="00A7178B" w:rsidRPr="00242529" w:rsidRDefault="00A7178B" w:rsidP="00F101DF">
            <w:pPr>
              <w:rPr>
                <w:sz w:val="8"/>
                <w:szCs w:val="8"/>
              </w:rPr>
            </w:pPr>
          </w:p>
        </w:tc>
      </w:tr>
      <w:tr w:rsidR="00A7178B" w:rsidRPr="00242529" w14:paraId="5E1B17C4" w14:textId="77777777" w:rsidTr="00F101DF">
        <w:trPr>
          <w:trHeight w:val="310"/>
        </w:trPr>
        <w:tc>
          <w:tcPr>
            <w:tcW w:w="1155" w:type="dxa"/>
            <w:gridSpan w:val="2"/>
          </w:tcPr>
          <w:p w14:paraId="46B5DB21" w14:textId="77777777" w:rsidR="00A7178B" w:rsidRPr="00242529" w:rsidRDefault="00A7178B" w:rsidP="00F101DF">
            <w:pPr>
              <w:rPr>
                <w:sz w:val="14"/>
                <w:szCs w:val="14"/>
              </w:rPr>
            </w:pPr>
          </w:p>
          <w:p w14:paraId="49A4676A" w14:textId="77777777" w:rsidR="00A7178B" w:rsidRPr="00242529" w:rsidRDefault="00A7178B" w:rsidP="00F101DF">
            <w:pPr>
              <w:rPr>
                <w:sz w:val="14"/>
                <w:szCs w:val="14"/>
              </w:rPr>
            </w:pPr>
          </w:p>
          <w:p w14:paraId="432032F6" w14:textId="77777777" w:rsidR="00A7178B" w:rsidRPr="00242529" w:rsidRDefault="00A7178B" w:rsidP="00F101DF">
            <w:pPr>
              <w:rPr>
                <w:sz w:val="14"/>
                <w:szCs w:val="14"/>
              </w:rPr>
            </w:pPr>
          </w:p>
          <w:p w14:paraId="454FDEF5" w14:textId="77777777" w:rsidR="00A7178B" w:rsidRPr="00242529" w:rsidRDefault="00A7178B" w:rsidP="00F101DF">
            <w:pPr>
              <w:rPr>
                <w:sz w:val="14"/>
                <w:szCs w:val="14"/>
              </w:rPr>
            </w:pPr>
          </w:p>
        </w:tc>
        <w:tc>
          <w:tcPr>
            <w:tcW w:w="3455" w:type="dxa"/>
            <w:gridSpan w:val="2"/>
            <w:vAlign w:val="center"/>
          </w:tcPr>
          <w:p w14:paraId="242943CF" w14:textId="77777777" w:rsidR="00A7178B" w:rsidRPr="00242529" w:rsidRDefault="00A7178B" w:rsidP="00F101DF">
            <w:pPr>
              <w:rPr>
                <w:sz w:val="8"/>
                <w:szCs w:val="8"/>
              </w:rPr>
            </w:pPr>
            <w:r w:rsidRPr="00242529">
              <w:rPr>
                <w:sz w:val="14"/>
                <w:szCs w:val="14"/>
              </w:rPr>
              <w:t xml:space="preserve">Riskindikatorn utgår ifrån att du behåller produkten i </w:t>
            </w:r>
            <w:r>
              <w:rPr>
                <w:sz w:val="14"/>
                <w:szCs w:val="14"/>
              </w:rPr>
              <w:t>5</w:t>
            </w:r>
            <w:r w:rsidRPr="00242529">
              <w:rPr>
                <w:sz w:val="14"/>
                <w:szCs w:val="14"/>
              </w:rPr>
              <w:t xml:space="preserve"> år</w:t>
            </w:r>
          </w:p>
        </w:tc>
      </w:tr>
    </w:tbl>
    <w:p w14:paraId="506BA38D" w14:textId="02293968" w:rsidR="00A7178B" w:rsidRPr="00D55C8D" w:rsidRDefault="00A7178B" w:rsidP="00A7178B">
      <w:pPr>
        <w:spacing w:after="40"/>
        <w:rPr>
          <w:szCs w:val="18"/>
        </w:rPr>
      </w:pPr>
      <w:r w:rsidRPr="00242529">
        <w:rPr>
          <w:szCs w:val="18"/>
          <w:highlight w:val="yellow"/>
        </w:rPr>
        <w:br w:type="column"/>
      </w:r>
      <w:r w:rsidRPr="00242529">
        <w:rPr>
          <w:szCs w:val="18"/>
        </w:rPr>
        <w:t>Den sammanfattande riskindikatorn ger en vägledning om risknivån för denna fond jämfört med andra produkter. Den visar hur troligt det är att fonde</w:t>
      </w:r>
      <w:r w:rsidRPr="00C76447">
        <w:rPr>
          <w:szCs w:val="18"/>
        </w:rPr>
        <w:t>ns värde kommer att sjunka på grund av marknads-</w:t>
      </w:r>
      <w:r w:rsidRPr="00C734CF">
        <w:rPr>
          <w:szCs w:val="18"/>
        </w:rPr>
        <w:t xml:space="preserve">utvecklingen i underliggande tillgångar. Vi har klassificerat produkten som </w:t>
      </w:r>
      <w:r w:rsidR="00FD1FEE">
        <w:rPr>
          <w:szCs w:val="18"/>
        </w:rPr>
        <w:t>4</w:t>
      </w:r>
      <w:r w:rsidRPr="00C734CF">
        <w:rPr>
          <w:szCs w:val="18"/>
        </w:rPr>
        <w:t xml:space="preserve"> av 7, d.v.s. en medelriskklass. Det betyder att fonden har medelrisk för upp- och nedgångar i andelsvärdet. Indikatorn speglar framför allt upp- och nedgångar i de </w:t>
      </w:r>
      <w:r w:rsidRPr="00D55C8D">
        <w:rPr>
          <w:szCs w:val="18"/>
        </w:rPr>
        <w:t>aktier fonden placerat i.</w:t>
      </w:r>
    </w:p>
    <w:p w14:paraId="4C6E40E6" w14:textId="7690C760" w:rsidR="00A7178B" w:rsidRPr="00D55C8D" w:rsidRDefault="00A7178B" w:rsidP="00A7178B">
      <w:pPr>
        <w:spacing w:before="160" w:after="40"/>
        <w:rPr>
          <w:szCs w:val="18"/>
          <w:highlight w:val="yellow"/>
        </w:rPr>
        <w:sectPr w:rsidR="00A7178B" w:rsidRPr="00D55C8D" w:rsidSect="00A87452">
          <w:type w:val="continuous"/>
          <w:pgSz w:w="11906" w:h="16838"/>
          <w:pgMar w:top="1134" w:right="851" w:bottom="1134" w:left="851" w:header="567" w:footer="567" w:gutter="0"/>
          <w:cols w:num="2" w:space="227"/>
        </w:sectPr>
      </w:pPr>
      <w:r w:rsidRPr="00D55C8D">
        <w:rPr>
          <w:b/>
          <w:bCs/>
          <w:szCs w:val="18"/>
        </w:rPr>
        <w:t>Risker som inte fångas upp av riskindikatorn:</w:t>
      </w:r>
      <w:r w:rsidRPr="00D55C8D">
        <w:rPr>
          <w:szCs w:val="18"/>
        </w:rPr>
        <w:t xml:space="preserve"> </w:t>
      </w:r>
    </w:p>
    <w:p w14:paraId="66384BAE" w14:textId="2B3DA550" w:rsidR="0000186C" w:rsidRPr="00242529" w:rsidRDefault="00A7178B" w:rsidP="00A7178B">
      <w:pPr>
        <w:rPr>
          <w:szCs w:val="18"/>
        </w:rPr>
      </w:pPr>
      <w:r w:rsidRPr="00D55C8D">
        <w:rPr>
          <w:szCs w:val="18"/>
        </w:rPr>
        <w:t>Motpartsrisk – uppstår om en motpart inte fullgör sina skyldigheter mot fonden, exempelvis genom att</w:t>
      </w:r>
      <w:r w:rsidRPr="00C734CF">
        <w:rPr>
          <w:szCs w:val="18"/>
        </w:rPr>
        <w:t xml:space="preserve"> inte betala en fastställd summa eller inte leverera värdepapper enligt överenskommelse. Operativ risk – risken för förlust på grund av exempelvis systemhaveri, fel orsakade av den mänskliga faktorn eller av externa händelser. Denna produkt innehåller inte något skydd mot framtida marknadsresultat. Du kan därför förlora hela eller delar av din investering</w:t>
      </w:r>
      <w:r w:rsidR="0000186C" w:rsidRPr="00242529">
        <w:rPr>
          <w:szCs w:val="18"/>
        </w:rPr>
        <w:t>.</w:t>
      </w:r>
    </w:p>
    <w:p w14:paraId="71AF1A06" w14:textId="77777777" w:rsidR="00A87452" w:rsidRPr="00242529" w:rsidRDefault="00A87452" w:rsidP="00A06CB1">
      <w:pPr>
        <w:rPr>
          <w:szCs w:val="18"/>
        </w:rPr>
        <w:sectPr w:rsidR="00A87452" w:rsidRPr="00242529" w:rsidSect="0000186C">
          <w:type w:val="continuous"/>
          <w:pgSz w:w="11906" w:h="16838"/>
          <w:pgMar w:top="1134" w:right="851" w:bottom="1134" w:left="851" w:header="567" w:footer="567" w:gutter="0"/>
          <w:cols w:space="227"/>
        </w:sectPr>
      </w:pPr>
    </w:p>
    <w:p w14:paraId="10698F4A" w14:textId="77777777" w:rsidR="00A7178B" w:rsidRDefault="00A7178B">
      <w:pPr>
        <w:rPr>
          <w:b/>
          <w:bCs/>
          <w:szCs w:val="18"/>
        </w:rPr>
      </w:pPr>
      <w:r>
        <w:rPr>
          <w:b/>
          <w:bCs/>
          <w:szCs w:val="18"/>
        </w:rPr>
        <w:br w:type="page"/>
      </w:r>
    </w:p>
    <w:p w14:paraId="6531D30C" w14:textId="10F7E06E" w:rsidR="0099159C" w:rsidRDefault="003E36DE" w:rsidP="0099159C">
      <w:pPr>
        <w:spacing w:after="40"/>
        <w:rPr>
          <w:b/>
          <w:bCs/>
          <w:szCs w:val="18"/>
        </w:rPr>
      </w:pPr>
      <w:r w:rsidRPr="00242529">
        <w:rPr>
          <w:b/>
          <w:bCs/>
          <w:szCs w:val="18"/>
        </w:rPr>
        <w:lastRenderedPageBreak/>
        <w:t>Resultatscenario</w:t>
      </w:r>
    </w:p>
    <w:p w14:paraId="24AF0634" w14:textId="77777777" w:rsidR="00FC1057" w:rsidRDefault="0000186C" w:rsidP="0099159C">
      <w:r w:rsidRPr="00242529">
        <w:t xml:space="preserve">Vad du </w:t>
      </w:r>
      <w:r w:rsidR="000621B7" w:rsidRPr="00242529">
        <w:t>får från denna produkt beror på framtida marknadsresultat. Den framtida marknadsutvecklingen är osäker och kan inte förutsägas exakt. De negativa, neutrala och positiva scenarierna visar det sämsta, det genomsnittliga och det bästa resultatet för produkten under de senaste 10 åren. Marknaderna kan utvecklas helt annorlunda i framtiden.</w:t>
      </w:r>
    </w:p>
    <w:p w14:paraId="643177B3" w14:textId="67B0243B" w:rsidR="003E36DE" w:rsidRPr="00242529" w:rsidRDefault="00FC1057" w:rsidP="0099159C">
      <w:r w:rsidRPr="00D05740">
        <w:t xml:space="preserve">Det negativa scenariot inträffade för en investering mellan oktober 2017 och september 2022. Det neutrala scenariot inträffade för en investering mellan </w:t>
      </w:r>
      <w:r w:rsidR="00D54370">
        <w:t>juli 2015</w:t>
      </w:r>
      <w:r w:rsidRPr="00D05740">
        <w:t xml:space="preserve"> och </w:t>
      </w:r>
      <w:r w:rsidR="00D54370">
        <w:t xml:space="preserve">juni </w:t>
      </w:r>
      <w:r w:rsidR="003A20EC">
        <w:t>2020</w:t>
      </w:r>
      <w:r w:rsidRPr="00D05740">
        <w:t>. Det positiva scenariot inträffade för en investering mellan j</w:t>
      </w:r>
      <w:r w:rsidR="003A20EC">
        <w:t>uli</w:t>
      </w:r>
      <w:r w:rsidRPr="00D05740">
        <w:t xml:space="preserve"> </w:t>
      </w:r>
      <w:r w:rsidR="003A20EC">
        <w:t>2016</w:t>
      </w:r>
      <w:r w:rsidRPr="00D05740">
        <w:t xml:space="preserve"> och </w:t>
      </w:r>
      <w:r w:rsidR="003A20EC">
        <w:t>juni 2021</w:t>
      </w:r>
      <w:r w:rsidRPr="00D05740">
        <w:t xml:space="preserve">. </w:t>
      </w:r>
      <w:proofErr w:type="spellStart"/>
      <w:r w:rsidR="000621B7" w:rsidRPr="00D05740">
        <w:t>Stresscenariot</w:t>
      </w:r>
      <w:proofErr w:type="spellEnd"/>
      <w:r w:rsidR="000621B7" w:rsidRPr="00D05740">
        <w:t xml:space="preserve"> visar vad du kan få tillbaka under extrema marknadsförhållanden</w:t>
      </w:r>
      <w:r w:rsidR="000621B7" w:rsidRPr="00242529">
        <w:t>.</w:t>
      </w:r>
    </w:p>
    <w:p w14:paraId="5089527A" w14:textId="003D4CF6" w:rsidR="000621B7" w:rsidRPr="00242529" w:rsidRDefault="000621B7" w:rsidP="0099159C">
      <w:r w:rsidRPr="00242529">
        <w:t>I siffrorna ingår alla kostnader för själva produkten, men eventuellt inte alla kostnader som du betalar till din rådgivare eller distributör. I siffrorna tas ingen hänsyn till din personliga beskattningssituation, som också kan påverka hur mycket du får tillbaka.</w:t>
      </w:r>
    </w:p>
    <w:tbl>
      <w:tblPr>
        <w:tblStyle w:val="TableGrid"/>
        <w:tblW w:w="0" w:type="auto"/>
        <w:tblBorders>
          <w:top w:val="single" w:sz="2" w:space="0" w:color="17365D" w:themeColor="accent1"/>
          <w:left w:val="single" w:sz="2" w:space="0" w:color="17365D" w:themeColor="accent1"/>
          <w:bottom w:val="single" w:sz="2" w:space="0" w:color="17365D" w:themeColor="accent1"/>
          <w:right w:val="single" w:sz="2" w:space="0" w:color="17365D" w:themeColor="accent1"/>
          <w:insideH w:val="none" w:sz="0" w:space="0" w:color="auto"/>
          <w:insideV w:val="none" w:sz="0" w:space="0" w:color="auto"/>
        </w:tblBorders>
        <w:tblLook w:val="04A0" w:firstRow="1" w:lastRow="0" w:firstColumn="1" w:lastColumn="0" w:noHBand="0" w:noVBand="1"/>
      </w:tblPr>
      <w:tblGrid>
        <w:gridCol w:w="1276"/>
        <w:gridCol w:w="3820"/>
        <w:gridCol w:w="2549"/>
        <w:gridCol w:w="2549"/>
      </w:tblGrid>
      <w:tr w:rsidR="001E3EF2" w:rsidRPr="00242529" w14:paraId="139CAFAF" w14:textId="77777777" w:rsidTr="001E3EF2">
        <w:tc>
          <w:tcPr>
            <w:tcW w:w="5096" w:type="dxa"/>
            <w:gridSpan w:val="2"/>
            <w:shd w:val="clear" w:color="auto" w:fill="17365D" w:themeFill="accent1"/>
          </w:tcPr>
          <w:p w14:paraId="66372EC8" w14:textId="77777777" w:rsidR="001E3EF2" w:rsidRPr="00242529" w:rsidRDefault="001E3EF2" w:rsidP="000621B7">
            <w:pPr>
              <w:rPr>
                <w:rFonts w:ascii="Gill Sans Nova Light" w:hAnsi="Gill Sans Nova Light"/>
                <w:b/>
                <w:bCs/>
                <w:color w:val="FFFFFF" w:themeColor="background1"/>
                <w:szCs w:val="18"/>
              </w:rPr>
            </w:pPr>
            <w:bookmarkStart w:id="0" w:name="_Hlk156835184"/>
            <w:r w:rsidRPr="00242529">
              <w:rPr>
                <w:rFonts w:ascii="Gill Sans Nova Light" w:hAnsi="Gill Sans Nova Light"/>
                <w:b/>
                <w:bCs/>
                <w:color w:val="FFFFFF" w:themeColor="background1"/>
                <w:szCs w:val="18"/>
              </w:rPr>
              <w:t>Rekommenderad innehavstid</w:t>
            </w:r>
          </w:p>
          <w:p w14:paraId="765E64E9" w14:textId="6E0A9169" w:rsidR="001E3EF2" w:rsidRPr="00242529" w:rsidRDefault="001E3EF2" w:rsidP="000621B7">
            <w:pPr>
              <w:rPr>
                <w:rFonts w:ascii="Gill Sans Nova Light" w:hAnsi="Gill Sans Nova Light"/>
                <w:b/>
                <w:bCs/>
                <w:color w:val="FFFFFF" w:themeColor="background1"/>
                <w:szCs w:val="18"/>
              </w:rPr>
            </w:pPr>
            <w:r w:rsidRPr="00242529">
              <w:rPr>
                <w:rFonts w:ascii="Gill Sans Nova Light" w:hAnsi="Gill Sans Nova Light"/>
                <w:b/>
                <w:bCs/>
                <w:color w:val="FFFFFF" w:themeColor="background1"/>
                <w:szCs w:val="18"/>
              </w:rPr>
              <w:t>Exempel på investering</w:t>
            </w:r>
          </w:p>
        </w:tc>
        <w:tc>
          <w:tcPr>
            <w:tcW w:w="5098" w:type="dxa"/>
            <w:gridSpan w:val="2"/>
            <w:shd w:val="clear" w:color="auto" w:fill="17365D" w:themeFill="accent1"/>
          </w:tcPr>
          <w:p w14:paraId="54392B46" w14:textId="77777777" w:rsidR="001E3EF2" w:rsidRPr="00242529" w:rsidRDefault="001E3EF2" w:rsidP="000621B7">
            <w:pPr>
              <w:rPr>
                <w:rFonts w:ascii="Gill Sans Nova Light" w:hAnsi="Gill Sans Nova Light"/>
                <w:b/>
                <w:bCs/>
                <w:color w:val="FFFFFF" w:themeColor="background1"/>
                <w:szCs w:val="18"/>
              </w:rPr>
            </w:pPr>
            <w:r w:rsidRPr="00242529">
              <w:rPr>
                <w:rFonts w:ascii="Gill Sans Nova Light" w:hAnsi="Gill Sans Nova Light"/>
                <w:b/>
                <w:bCs/>
                <w:color w:val="FFFFFF" w:themeColor="background1"/>
                <w:szCs w:val="18"/>
              </w:rPr>
              <w:t>5 år</w:t>
            </w:r>
          </w:p>
          <w:p w14:paraId="3F3F5CAD" w14:textId="1F97B216" w:rsidR="001E3EF2" w:rsidRDefault="001E3EF2" w:rsidP="000621B7">
            <w:pPr>
              <w:rPr>
                <w:rFonts w:ascii="Gill Sans Nova Light" w:hAnsi="Gill Sans Nova Light"/>
                <w:b/>
                <w:bCs/>
                <w:color w:val="FFFFFF" w:themeColor="background1"/>
                <w:szCs w:val="18"/>
              </w:rPr>
            </w:pPr>
            <w:r w:rsidRPr="00242529">
              <w:rPr>
                <w:rFonts w:ascii="Gill Sans Nova Light" w:hAnsi="Gill Sans Nova Light"/>
                <w:b/>
                <w:bCs/>
                <w:color w:val="FFFFFF" w:themeColor="background1"/>
                <w:szCs w:val="18"/>
              </w:rPr>
              <w:t xml:space="preserve">100 000 </w:t>
            </w:r>
            <w:r w:rsidR="00CD0D14">
              <w:rPr>
                <w:rFonts w:ascii="Gill Sans Nova Light" w:hAnsi="Gill Sans Nova Light"/>
                <w:b/>
                <w:bCs/>
                <w:color w:val="FFFFFF" w:themeColor="background1"/>
                <w:szCs w:val="18"/>
              </w:rPr>
              <w:t>kr</w:t>
            </w:r>
          </w:p>
          <w:p w14:paraId="52DD6C9D" w14:textId="30015C51" w:rsidR="00161C04" w:rsidRPr="00161C04" w:rsidRDefault="00161C04" w:rsidP="000621B7">
            <w:pPr>
              <w:rPr>
                <w:rFonts w:ascii="Gill Sans Nova Light" w:hAnsi="Gill Sans Nova Light"/>
                <w:b/>
                <w:bCs/>
                <w:color w:val="FFFFFF" w:themeColor="background1"/>
                <w:sz w:val="6"/>
                <w:szCs w:val="6"/>
              </w:rPr>
            </w:pPr>
          </w:p>
        </w:tc>
      </w:tr>
      <w:tr w:rsidR="001E3EF2" w:rsidRPr="00242529" w14:paraId="051149E6" w14:textId="77777777" w:rsidTr="001E3EF2">
        <w:tc>
          <w:tcPr>
            <w:tcW w:w="5096" w:type="dxa"/>
            <w:gridSpan w:val="2"/>
            <w:tcBorders>
              <w:bottom w:val="single" w:sz="2" w:space="0" w:color="17365D" w:themeColor="accent1"/>
            </w:tcBorders>
            <w:shd w:val="clear" w:color="auto" w:fill="F2F2F2" w:themeFill="background1" w:themeFillShade="F2"/>
          </w:tcPr>
          <w:p w14:paraId="65C6EB4E" w14:textId="6CAC0370" w:rsidR="001E3EF2" w:rsidRPr="00242529" w:rsidRDefault="001E3EF2" w:rsidP="000621B7">
            <w:pPr>
              <w:rPr>
                <w:rFonts w:ascii="Gill Sans Nova Light" w:hAnsi="Gill Sans Nova Light"/>
                <w:color w:val="1D1D1B"/>
                <w:szCs w:val="18"/>
              </w:rPr>
            </w:pPr>
            <w:r w:rsidRPr="00242529">
              <w:rPr>
                <w:rFonts w:ascii="Gill Sans Nova Light" w:hAnsi="Gill Sans Nova Light"/>
                <w:color w:val="1D1D1B"/>
                <w:szCs w:val="18"/>
              </w:rPr>
              <w:t>Scenarier</w:t>
            </w:r>
          </w:p>
        </w:tc>
        <w:tc>
          <w:tcPr>
            <w:tcW w:w="2549" w:type="dxa"/>
            <w:tcBorders>
              <w:bottom w:val="single" w:sz="2" w:space="0" w:color="17365D" w:themeColor="accent1"/>
            </w:tcBorders>
            <w:shd w:val="clear" w:color="auto" w:fill="F2F2F2" w:themeFill="background1" w:themeFillShade="F2"/>
          </w:tcPr>
          <w:p w14:paraId="1B3DEEDF" w14:textId="76589B8A" w:rsidR="001E3EF2" w:rsidRPr="00242529" w:rsidRDefault="001E3EF2" w:rsidP="000621B7">
            <w:pPr>
              <w:rPr>
                <w:rFonts w:ascii="Gill Sans Nova Light" w:hAnsi="Gill Sans Nova Light"/>
                <w:color w:val="1D1D1B"/>
                <w:szCs w:val="18"/>
              </w:rPr>
            </w:pPr>
            <w:r w:rsidRPr="00242529">
              <w:rPr>
                <w:rFonts w:ascii="Gill Sans Nova Light" w:hAnsi="Gill Sans Nova Light"/>
                <w:color w:val="1D1D1B"/>
                <w:szCs w:val="18"/>
              </w:rPr>
              <w:t>Om du löser in efter 1 år</w:t>
            </w:r>
          </w:p>
        </w:tc>
        <w:tc>
          <w:tcPr>
            <w:tcW w:w="2549" w:type="dxa"/>
            <w:tcBorders>
              <w:bottom w:val="single" w:sz="2" w:space="0" w:color="17365D" w:themeColor="accent1"/>
            </w:tcBorders>
            <w:shd w:val="clear" w:color="auto" w:fill="F2F2F2" w:themeFill="background1" w:themeFillShade="F2"/>
          </w:tcPr>
          <w:p w14:paraId="3201AB31" w14:textId="3E120FEB" w:rsidR="001E3EF2" w:rsidRPr="007C2A03" w:rsidRDefault="001E3EF2" w:rsidP="000621B7">
            <w:pPr>
              <w:rPr>
                <w:rFonts w:ascii="Gill Sans Nova Light" w:hAnsi="Gill Sans Nova Light"/>
                <w:color w:val="1D1D1B"/>
                <w:szCs w:val="18"/>
              </w:rPr>
            </w:pPr>
            <w:r w:rsidRPr="00242529">
              <w:rPr>
                <w:rFonts w:ascii="Gill Sans Nova Light" w:hAnsi="Gill Sans Nova Light"/>
                <w:color w:val="1D1D1B"/>
                <w:szCs w:val="18"/>
              </w:rPr>
              <w:t>Om du löser in efter 5 år</w:t>
            </w:r>
            <w:r w:rsidRPr="00242529">
              <w:rPr>
                <w:rFonts w:ascii="Gill Sans Nova Light" w:hAnsi="Gill Sans Nova Light"/>
                <w:color w:val="1D1D1B"/>
                <w:szCs w:val="18"/>
              </w:rPr>
              <w:br/>
              <w:t>(Rekommenderad innehavstid</w:t>
            </w:r>
            <w:r w:rsidR="007C2A03">
              <w:rPr>
                <w:rFonts w:ascii="Gill Sans Nova Light" w:hAnsi="Gill Sans Nova Light"/>
                <w:color w:val="1D1D1B"/>
                <w:szCs w:val="18"/>
              </w:rPr>
              <w:t>)</w:t>
            </w:r>
          </w:p>
        </w:tc>
      </w:tr>
      <w:tr w:rsidR="001E3EF2" w:rsidRPr="00242529" w14:paraId="4892FF8D" w14:textId="77777777" w:rsidTr="00321CDB">
        <w:tc>
          <w:tcPr>
            <w:tcW w:w="1276" w:type="dxa"/>
            <w:tcBorders>
              <w:top w:val="single" w:sz="2" w:space="0" w:color="17365D" w:themeColor="accent1"/>
              <w:bottom w:val="single" w:sz="2" w:space="0" w:color="17365D" w:themeColor="accent1"/>
              <w:right w:val="single" w:sz="2" w:space="0" w:color="17365D" w:themeColor="accent1"/>
            </w:tcBorders>
          </w:tcPr>
          <w:p w14:paraId="034CC0E5" w14:textId="1387705C" w:rsidR="001E3EF2" w:rsidRPr="00242529" w:rsidRDefault="001E3EF2" w:rsidP="000621B7">
            <w:pPr>
              <w:rPr>
                <w:rFonts w:ascii="Gill Sans Nova Light" w:hAnsi="Gill Sans Nova Light"/>
                <w:b/>
                <w:bCs/>
                <w:color w:val="1D1D1B"/>
                <w:szCs w:val="18"/>
              </w:rPr>
            </w:pPr>
            <w:r w:rsidRPr="00242529">
              <w:rPr>
                <w:rFonts w:ascii="Gill Sans Nova Light" w:hAnsi="Gill Sans Nova Light"/>
                <w:b/>
                <w:bCs/>
                <w:color w:val="1D1D1B"/>
                <w:szCs w:val="18"/>
              </w:rPr>
              <w:t>Minimum</w:t>
            </w:r>
          </w:p>
        </w:tc>
        <w:tc>
          <w:tcPr>
            <w:tcW w:w="8918" w:type="dxa"/>
            <w:gridSpan w:val="3"/>
            <w:tcBorders>
              <w:top w:val="single" w:sz="2" w:space="0" w:color="17365D" w:themeColor="accent1"/>
              <w:left w:val="single" w:sz="2" w:space="0" w:color="17365D" w:themeColor="accent1"/>
              <w:bottom w:val="single" w:sz="2" w:space="0" w:color="17365D" w:themeColor="accent1"/>
            </w:tcBorders>
          </w:tcPr>
          <w:p w14:paraId="2CDD8062" w14:textId="1724EC31" w:rsidR="001E3EF2" w:rsidRPr="00242529" w:rsidRDefault="001E3EF2" w:rsidP="000621B7">
            <w:pPr>
              <w:rPr>
                <w:rFonts w:ascii="Gill Sans Nova Light" w:hAnsi="Gill Sans Nova Light"/>
                <w:color w:val="1D1D1B"/>
                <w:szCs w:val="18"/>
              </w:rPr>
            </w:pPr>
            <w:r w:rsidRPr="00242529">
              <w:rPr>
                <w:rFonts w:ascii="Gill Sans Nova Light" w:hAnsi="Gill Sans Nova Light"/>
                <w:color w:val="1D1D1B"/>
                <w:szCs w:val="18"/>
              </w:rPr>
              <w:t>Det finns ingen garanti på minsta avkastning. Du kan förlora hela eller delar av din investering.</w:t>
            </w:r>
          </w:p>
        </w:tc>
      </w:tr>
      <w:tr w:rsidR="000621B7" w:rsidRPr="00242529" w14:paraId="4F7E2EF8" w14:textId="77777777" w:rsidTr="001E3EF2">
        <w:tc>
          <w:tcPr>
            <w:tcW w:w="1276" w:type="dxa"/>
            <w:tcBorders>
              <w:top w:val="single" w:sz="2" w:space="0" w:color="17365D" w:themeColor="accent1"/>
              <w:bottom w:val="single" w:sz="2" w:space="0" w:color="17365D" w:themeColor="accent1"/>
              <w:right w:val="single" w:sz="2" w:space="0" w:color="17365D" w:themeColor="accent1"/>
            </w:tcBorders>
          </w:tcPr>
          <w:p w14:paraId="4A6296CB" w14:textId="2AE2EDA9" w:rsidR="000621B7" w:rsidRPr="00242529" w:rsidRDefault="001E3EF2" w:rsidP="000621B7">
            <w:pPr>
              <w:rPr>
                <w:rFonts w:ascii="Gill Sans Nova Light" w:hAnsi="Gill Sans Nova Light"/>
                <w:b/>
                <w:bCs/>
                <w:color w:val="1D1D1B"/>
                <w:szCs w:val="18"/>
              </w:rPr>
            </w:pPr>
            <w:r w:rsidRPr="00242529">
              <w:rPr>
                <w:rFonts w:ascii="Gill Sans Nova Light" w:hAnsi="Gill Sans Nova Light"/>
                <w:b/>
                <w:bCs/>
                <w:color w:val="1D1D1B"/>
                <w:szCs w:val="18"/>
              </w:rPr>
              <w:t>Stress</w:t>
            </w:r>
          </w:p>
        </w:tc>
        <w:tc>
          <w:tcPr>
            <w:tcW w:w="3820" w:type="dxa"/>
            <w:tcBorders>
              <w:top w:val="single" w:sz="2" w:space="0" w:color="17365D" w:themeColor="accent1"/>
              <w:left w:val="single" w:sz="2" w:space="0" w:color="17365D" w:themeColor="accent1"/>
              <w:bottom w:val="single" w:sz="2" w:space="0" w:color="17365D" w:themeColor="accent1"/>
              <w:right w:val="single" w:sz="2" w:space="0" w:color="17365D" w:themeColor="accent1"/>
            </w:tcBorders>
          </w:tcPr>
          <w:p w14:paraId="6E766791" w14:textId="77777777" w:rsidR="000621B7" w:rsidRPr="00242529" w:rsidRDefault="001E3EF2" w:rsidP="000621B7">
            <w:pPr>
              <w:rPr>
                <w:rFonts w:ascii="Gill Sans Nova Light" w:hAnsi="Gill Sans Nova Light"/>
                <w:color w:val="1D1D1B"/>
                <w:szCs w:val="18"/>
              </w:rPr>
            </w:pPr>
            <w:r w:rsidRPr="00242529">
              <w:rPr>
                <w:rFonts w:ascii="Gill Sans Nova Light" w:hAnsi="Gill Sans Nova Light"/>
                <w:b/>
                <w:bCs/>
                <w:color w:val="1D1D1B"/>
                <w:szCs w:val="18"/>
              </w:rPr>
              <w:t>Vad kan du få tillbaka efter avdrag för kostnader</w:t>
            </w:r>
            <w:r w:rsidRPr="00242529">
              <w:rPr>
                <w:rFonts w:ascii="Gill Sans Nova Light" w:hAnsi="Gill Sans Nova Light"/>
                <w:color w:val="1D1D1B"/>
                <w:szCs w:val="18"/>
              </w:rPr>
              <w:br/>
              <w:t>Genomsnittlig avkastning per år</w:t>
            </w:r>
          </w:p>
          <w:p w14:paraId="433FCA07" w14:textId="51A97EE8" w:rsidR="001E3EF2" w:rsidRPr="00242529" w:rsidRDefault="001E3EF2" w:rsidP="000621B7">
            <w:pPr>
              <w:rPr>
                <w:rFonts w:ascii="Gill Sans Nova Light" w:hAnsi="Gill Sans Nova Light"/>
                <w:color w:val="1D1D1B"/>
                <w:sz w:val="6"/>
                <w:szCs w:val="6"/>
              </w:rPr>
            </w:pPr>
          </w:p>
        </w:tc>
        <w:tc>
          <w:tcPr>
            <w:tcW w:w="2549" w:type="dxa"/>
            <w:tcBorders>
              <w:top w:val="single" w:sz="2" w:space="0" w:color="17365D" w:themeColor="accent1"/>
              <w:left w:val="single" w:sz="2" w:space="0" w:color="17365D" w:themeColor="accent1"/>
              <w:bottom w:val="single" w:sz="2" w:space="0" w:color="17365D" w:themeColor="accent1"/>
              <w:right w:val="single" w:sz="2" w:space="0" w:color="17365D" w:themeColor="accent1"/>
            </w:tcBorders>
          </w:tcPr>
          <w:p w14:paraId="5D3F6BFA" w14:textId="2F2A5FDE" w:rsidR="000621B7" w:rsidRPr="00956368" w:rsidRDefault="00C520F6" w:rsidP="008845A6">
            <w:pPr>
              <w:jc w:val="center"/>
              <w:rPr>
                <w:rFonts w:ascii="Gill Sans Nova Light" w:hAnsi="Gill Sans Nova Light"/>
                <w:b/>
                <w:bCs/>
                <w:color w:val="1D1D1B"/>
                <w:szCs w:val="18"/>
              </w:rPr>
            </w:pPr>
            <w:r>
              <w:rPr>
                <w:rFonts w:ascii="Gill Sans Nova Light" w:hAnsi="Gill Sans Nova Light"/>
                <w:b/>
                <w:bCs/>
                <w:color w:val="1D1D1B"/>
                <w:szCs w:val="18"/>
              </w:rPr>
              <w:t>20 8</w:t>
            </w:r>
            <w:r w:rsidR="00CD1EA9">
              <w:rPr>
                <w:rFonts w:ascii="Gill Sans Nova Light" w:hAnsi="Gill Sans Nova Light"/>
                <w:b/>
                <w:bCs/>
                <w:color w:val="1D1D1B"/>
                <w:szCs w:val="18"/>
              </w:rPr>
              <w:t>0</w:t>
            </w:r>
            <w:r w:rsidR="00C94FAE" w:rsidRPr="00956368">
              <w:rPr>
                <w:rFonts w:ascii="Gill Sans Nova Light" w:hAnsi="Gill Sans Nova Light"/>
                <w:b/>
                <w:bCs/>
                <w:color w:val="1D1D1B"/>
                <w:szCs w:val="18"/>
              </w:rPr>
              <w:t xml:space="preserve">0 </w:t>
            </w:r>
            <w:r w:rsidR="00CD0D14" w:rsidRPr="00956368">
              <w:rPr>
                <w:rFonts w:ascii="Gill Sans Nova Light" w:hAnsi="Gill Sans Nova Light"/>
                <w:b/>
                <w:bCs/>
                <w:color w:val="1D1D1B"/>
                <w:szCs w:val="18"/>
              </w:rPr>
              <w:t>kr</w:t>
            </w:r>
          </w:p>
          <w:p w14:paraId="0136580C" w14:textId="54A6C9BE" w:rsidR="001E3EF2" w:rsidRPr="00242529" w:rsidRDefault="00C94FAE" w:rsidP="008845A6">
            <w:pPr>
              <w:jc w:val="center"/>
              <w:rPr>
                <w:rFonts w:ascii="Gill Sans Nova Light" w:hAnsi="Gill Sans Nova Light"/>
                <w:color w:val="1D1D1B"/>
                <w:szCs w:val="18"/>
              </w:rPr>
            </w:pPr>
            <w:r>
              <w:rPr>
                <w:rFonts w:ascii="Gill Sans Nova Light" w:hAnsi="Gill Sans Nova Light"/>
                <w:color w:val="1D1D1B"/>
                <w:szCs w:val="18"/>
              </w:rPr>
              <w:t>-</w:t>
            </w:r>
            <w:r w:rsidR="00C520F6">
              <w:rPr>
                <w:rFonts w:ascii="Gill Sans Nova Light" w:hAnsi="Gill Sans Nova Light"/>
                <w:color w:val="1D1D1B"/>
                <w:szCs w:val="18"/>
              </w:rPr>
              <w:t>79,2</w:t>
            </w:r>
            <w:r>
              <w:rPr>
                <w:rFonts w:ascii="Gill Sans Nova Light" w:hAnsi="Gill Sans Nova Light"/>
                <w:color w:val="1D1D1B"/>
                <w:szCs w:val="18"/>
              </w:rPr>
              <w:t xml:space="preserve"> </w:t>
            </w:r>
            <w:r w:rsidR="001E3EF2" w:rsidRPr="00242529">
              <w:rPr>
                <w:rFonts w:ascii="Gill Sans Nova Light" w:hAnsi="Gill Sans Nova Light"/>
                <w:color w:val="1D1D1B"/>
                <w:szCs w:val="18"/>
              </w:rPr>
              <w:t>%</w:t>
            </w:r>
          </w:p>
        </w:tc>
        <w:tc>
          <w:tcPr>
            <w:tcW w:w="2549" w:type="dxa"/>
            <w:tcBorders>
              <w:top w:val="single" w:sz="2" w:space="0" w:color="17365D" w:themeColor="accent1"/>
              <w:left w:val="single" w:sz="2" w:space="0" w:color="17365D" w:themeColor="accent1"/>
              <w:bottom w:val="single" w:sz="2" w:space="0" w:color="17365D" w:themeColor="accent1"/>
            </w:tcBorders>
          </w:tcPr>
          <w:p w14:paraId="6FD0F6AC" w14:textId="23345B7C" w:rsidR="00CD0D14" w:rsidRPr="00956368" w:rsidRDefault="00C75A06" w:rsidP="008845A6">
            <w:pPr>
              <w:jc w:val="center"/>
              <w:rPr>
                <w:rFonts w:ascii="Gill Sans Nova Light" w:hAnsi="Gill Sans Nova Light"/>
                <w:b/>
                <w:bCs/>
                <w:color w:val="1D1D1B"/>
                <w:szCs w:val="18"/>
              </w:rPr>
            </w:pPr>
            <w:r>
              <w:rPr>
                <w:rFonts w:ascii="Gill Sans Nova Light" w:hAnsi="Gill Sans Nova Light"/>
                <w:b/>
                <w:bCs/>
                <w:color w:val="1D1D1B"/>
                <w:szCs w:val="18"/>
              </w:rPr>
              <w:t>21</w:t>
            </w:r>
            <w:r w:rsidR="00C520F6">
              <w:rPr>
                <w:rFonts w:ascii="Gill Sans Nova Light" w:hAnsi="Gill Sans Nova Light"/>
                <w:b/>
                <w:bCs/>
                <w:color w:val="1D1D1B"/>
                <w:szCs w:val="18"/>
              </w:rPr>
              <w:t xml:space="preserve"> 0</w:t>
            </w:r>
            <w:r w:rsidR="00CD1EA9">
              <w:rPr>
                <w:rFonts w:ascii="Gill Sans Nova Light" w:hAnsi="Gill Sans Nova Light"/>
                <w:b/>
                <w:bCs/>
                <w:color w:val="1D1D1B"/>
                <w:szCs w:val="18"/>
              </w:rPr>
              <w:t>0</w:t>
            </w:r>
            <w:r w:rsidR="00C94FAE" w:rsidRPr="00956368">
              <w:rPr>
                <w:rFonts w:ascii="Gill Sans Nova Light" w:hAnsi="Gill Sans Nova Light"/>
                <w:b/>
                <w:bCs/>
                <w:color w:val="1D1D1B"/>
                <w:szCs w:val="18"/>
              </w:rPr>
              <w:t xml:space="preserve">0 </w:t>
            </w:r>
            <w:r w:rsidR="00CD0D14" w:rsidRPr="00956368">
              <w:rPr>
                <w:rFonts w:ascii="Gill Sans Nova Light" w:hAnsi="Gill Sans Nova Light"/>
                <w:b/>
                <w:bCs/>
                <w:color w:val="1D1D1B"/>
                <w:szCs w:val="18"/>
              </w:rPr>
              <w:t>kr</w:t>
            </w:r>
          </w:p>
          <w:p w14:paraId="1CDC6E3F" w14:textId="3C61E2EF" w:rsidR="000621B7" w:rsidRPr="00242529" w:rsidRDefault="00C94FAE" w:rsidP="008845A6">
            <w:pPr>
              <w:jc w:val="center"/>
              <w:rPr>
                <w:rFonts w:ascii="Gill Sans Nova Light" w:hAnsi="Gill Sans Nova Light"/>
                <w:color w:val="1D1D1B"/>
                <w:szCs w:val="18"/>
              </w:rPr>
            </w:pPr>
            <w:r>
              <w:rPr>
                <w:rFonts w:ascii="Gill Sans Nova Light" w:hAnsi="Gill Sans Nova Light"/>
                <w:color w:val="1D1D1B"/>
                <w:szCs w:val="18"/>
              </w:rPr>
              <w:t>-</w:t>
            </w:r>
            <w:r w:rsidR="00C520F6">
              <w:rPr>
                <w:rFonts w:ascii="Gill Sans Nova Light" w:hAnsi="Gill Sans Nova Light"/>
                <w:color w:val="1D1D1B"/>
                <w:szCs w:val="18"/>
              </w:rPr>
              <w:t>2</w:t>
            </w:r>
            <w:r w:rsidR="00C75A06">
              <w:rPr>
                <w:rFonts w:ascii="Gill Sans Nova Light" w:hAnsi="Gill Sans Nova Light"/>
                <w:color w:val="1D1D1B"/>
                <w:szCs w:val="18"/>
              </w:rPr>
              <w:t>6,8</w:t>
            </w:r>
            <w:r>
              <w:rPr>
                <w:rFonts w:ascii="Gill Sans Nova Light" w:hAnsi="Gill Sans Nova Light"/>
                <w:color w:val="1D1D1B"/>
                <w:szCs w:val="18"/>
              </w:rPr>
              <w:t xml:space="preserve"> </w:t>
            </w:r>
            <w:r w:rsidR="001E3EF2" w:rsidRPr="00242529">
              <w:rPr>
                <w:rFonts w:ascii="Gill Sans Nova Light" w:hAnsi="Gill Sans Nova Light"/>
                <w:color w:val="1D1D1B"/>
                <w:szCs w:val="18"/>
              </w:rPr>
              <w:t>%</w:t>
            </w:r>
          </w:p>
        </w:tc>
      </w:tr>
      <w:tr w:rsidR="000621B7" w:rsidRPr="00242529" w14:paraId="199DD39E" w14:textId="77777777" w:rsidTr="001E3EF2">
        <w:tc>
          <w:tcPr>
            <w:tcW w:w="1276" w:type="dxa"/>
            <w:tcBorders>
              <w:top w:val="single" w:sz="2" w:space="0" w:color="17365D" w:themeColor="accent1"/>
              <w:bottom w:val="single" w:sz="2" w:space="0" w:color="17365D" w:themeColor="accent1"/>
              <w:right w:val="single" w:sz="2" w:space="0" w:color="17365D" w:themeColor="accent1"/>
            </w:tcBorders>
          </w:tcPr>
          <w:p w14:paraId="36DCBB65" w14:textId="6C5B88C0" w:rsidR="000621B7" w:rsidRPr="00242529" w:rsidRDefault="001E3EF2" w:rsidP="000621B7">
            <w:pPr>
              <w:rPr>
                <w:rFonts w:ascii="Gill Sans Nova Light" w:hAnsi="Gill Sans Nova Light"/>
                <w:b/>
                <w:bCs/>
                <w:color w:val="1D1D1B"/>
                <w:szCs w:val="18"/>
              </w:rPr>
            </w:pPr>
            <w:r w:rsidRPr="00242529">
              <w:rPr>
                <w:rFonts w:ascii="Gill Sans Nova Light" w:hAnsi="Gill Sans Nova Light"/>
                <w:b/>
                <w:bCs/>
                <w:color w:val="1D1D1B"/>
                <w:szCs w:val="18"/>
              </w:rPr>
              <w:t>Negativt</w:t>
            </w:r>
          </w:p>
        </w:tc>
        <w:tc>
          <w:tcPr>
            <w:tcW w:w="3820" w:type="dxa"/>
            <w:tcBorders>
              <w:top w:val="single" w:sz="2" w:space="0" w:color="17365D" w:themeColor="accent1"/>
              <w:left w:val="single" w:sz="2" w:space="0" w:color="17365D" w:themeColor="accent1"/>
              <w:bottom w:val="single" w:sz="2" w:space="0" w:color="17365D" w:themeColor="accent1"/>
              <w:right w:val="single" w:sz="2" w:space="0" w:color="17365D" w:themeColor="accent1"/>
            </w:tcBorders>
          </w:tcPr>
          <w:p w14:paraId="0DF8D189" w14:textId="77777777" w:rsidR="001E3EF2" w:rsidRPr="00242529" w:rsidRDefault="001E3EF2" w:rsidP="001E3EF2">
            <w:pPr>
              <w:rPr>
                <w:rFonts w:ascii="Gill Sans Nova Light" w:hAnsi="Gill Sans Nova Light"/>
                <w:color w:val="1D1D1B"/>
                <w:szCs w:val="18"/>
              </w:rPr>
            </w:pPr>
            <w:r w:rsidRPr="00242529">
              <w:rPr>
                <w:rFonts w:ascii="Gill Sans Nova Light" w:hAnsi="Gill Sans Nova Light"/>
                <w:b/>
                <w:bCs/>
                <w:color w:val="1D1D1B"/>
                <w:szCs w:val="18"/>
              </w:rPr>
              <w:t>Vad kan du få tillbaka efter avdrag för kostnader</w:t>
            </w:r>
            <w:r w:rsidRPr="00242529">
              <w:rPr>
                <w:rFonts w:ascii="Gill Sans Nova Light" w:hAnsi="Gill Sans Nova Light"/>
                <w:color w:val="1D1D1B"/>
                <w:szCs w:val="18"/>
              </w:rPr>
              <w:br/>
              <w:t>Genomsnittlig avkastning per år</w:t>
            </w:r>
          </w:p>
          <w:p w14:paraId="4D0DE503" w14:textId="77777777" w:rsidR="000621B7" w:rsidRPr="00242529" w:rsidRDefault="000621B7" w:rsidP="000621B7">
            <w:pPr>
              <w:rPr>
                <w:rFonts w:ascii="Gill Sans Nova Light" w:hAnsi="Gill Sans Nova Light"/>
                <w:color w:val="1D1D1B"/>
                <w:sz w:val="6"/>
                <w:szCs w:val="6"/>
              </w:rPr>
            </w:pPr>
          </w:p>
        </w:tc>
        <w:tc>
          <w:tcPr>
            <w:tcW w:w="2549" w:type="dxa"/>
            <w:tcBorders>
              <w:top w:val="single" w:sz="2" w:space="0" w:color="17365D" w:themeColor="accent1"/>
              <w:left w:val="single" w:sz="2" w:space="0" w:color="17365D" w:themeColor="accent1"/>
              <w:bottom w:val="single" w:sz="2" w:space="0" w:color="17365D" w:themeColor="accent1"/>
              <w:right w:val="single" w:sz="2" w:space="0" w:color="17365D" w:themeColor="accent1"/>
            </w:tcBorders>
          </w:tcPr>
          <w:p w14:paraId="762D4781" w14:textId="01A6A1A2" w:rsidR="00A04900" w:rsidRPr="00956368" w:rsidRDefault="008845A6" w:rsidP="008845A6">
            <w:pPr>
              <w:jc w:val="center"/>
              <w:rPr>
                <w:rFonts w:ascii="Gill Sans Nova Light" w:hAnsi="Gill Sans Nova Light"/>
                <w:b/>
                <w:bCs/>
                <w:color w:val="1D1D1B"/>
                <w:szCs w:val="18"/>
              </w:rPr>
            </w:pPr>
            <w:r w:rsidRPr="00956368">
              <w:rPr>
                <w:rFonts w:ascii="Gill Sans Nova Light" w:hAnsi="Gill Sans Nova Light"/>
                <w:b/>
                <w:bCs/>
                <w:color w:val="1D1D1B"/>
                <w:szCs w:val="18"/>
              </w:rPr>
              <w:t xml:space="preserve">69 </w:t>
            </w:r>
            <w:r w:rsidR="003A20EC">
              <w:rPr>
                <w:rFonts w:ascii="Gill Sans Nova Light" w:hAnsi="Gill Sans Nova Light"/>
                <w:b/>
                <w:bCs/>
                <w:color w:val="1D1D1B"/>
                <w:szCs w:val="18"/>
              </w:rPr>
              <w:t>0</w:t>
            </w:r>
            <w:r w:rsidRPr="00956368">
              <w:rPr>
                <w:rFonts w:ascii="Gill Sans Nova Light" w:hAnsi="Gill Sans Nova Light"/>
                <w:b/>
                <w:bCs/>
                <w:color w:val="1D1D1B"/>
                <w:szCs w:val="18"/>
              </w:rPr>
              <w:t>00</w:t>
            </w:r>
            <w:r w:rsidR="00CD0D14" w:rsidRPr="00956368">
              <w:rPr>
                <w:rFonts w:ascii="Gill Sans Nova Light" w:hAnsi="Gill Sans Nova Light"/>
                <w:b/>
                <w:bCs/>
                <w:color w:val="1D1D1B"/>
                <w:szCs w:val="18"/>
              </w:rPr>
              <w:t xml:space="preserve"> kr</w:t>
            </w:r>
          </w:p>
          <w:p w14:paraId="29177D55" w14:textId="023A9372" w:rsidR="000621B7" w:rsidRPr="00242529" w:rsidRDefault="00CD0D14" w:rsidP="008845A6">
            <w:pPr>
              <w:jc w:val="center"/>
              <w:rPr>
                <w:rFonts w:ascii="Gill Sans Nova Light" w:hAnsi="Gill Sans Nova Light"/>
                <w:color w:val="1D1D1B"/>
                <w:szCs w:val="18"/>
              </w:rPr>
            </w:pPr>
            <w:r>
              <w:rPr>
                <w:rFonts w:ascii="Gill Sans Nova Light" w:hAnsi="Gill Sans Nova Light"/>
                <w:color w:val="1D1D1B"/>
                <w:szCs w:val="18"/>
              </w:rPr>
              <w:t>-</w:t>
            </w:r>
            <w:r w:rsidR="008845A6">
              <w:rPr>
                <w:rFonts w:ascii="Gill Sans Nova Light" w:hAnsi="Gill Sans Nova Light"/>
                <w:color w:val="1D1D1B"/>
                <w:szCs w:val="18"/>
              </w:rPr>
              <w:t>3</w:t>
            </w:r>
            <w:r w:rsidR="003A20EC">
              <w:rPr>
                <w:rFonts w:ascii="Gill Sans Nova Light" w:hAnsi="Gill Sans Nova Light"/>
                <w:color w:val="1D1D1B"/>
                <w:szCs w:val="18"/>
              </w:rPr>
              <w:t>1,0</w:t>
            </w:r>
            <w:r>
              <w:rPr>
                <w:rFonts w:ascii="Gill Sans Nova Light" w:hAnsi="Gill Sans Nova Light"/>
                <w:color w:val="1D1D1B"/>
                <w:szCs w:val="18"/>
              </w:rPr>
              <w:t xml:space="preserve"> </w:t>
            </w:r>
            <w:r w:rsidR="001E3EF2" w:rsidRPr="00242529">
              <w:rPr>
                <w:rFonts w:ascii="Gill Sans Nova Light" w:hAnsi="Gill Sans Nova Light"/>
                <w:color w:val="1D1D1B"/>
                <w:szCs w:val="18"/>
              </w:rPr>
              <w:t>%</w:t>
            </w:r>
          </w:p>
        </w:tc>
        <w:tc>
          <w:tcPr>
            <w:tcW w:w="2549" w:type="dxa"/>
            <w:tcBorders>
              <w:top w:val="single" w:sz="2" w:space="0" w:color="17365D" w:themeColor="accent1"/>
              <w:left w:val="single" w:sz="2" w:space="0" w:color="17365D" w:themeColor="accent1"/>
              <w:bottom w:val="single" w:sz="2" w:space="0" w:color="17365D" w:themeColor="accent1"/>
            </w:tcBorders>
          </w:tcPr>
          <w:p w14:paraId="3E940584" w14:textId="1144ED69" w:rsidR="00CD0D14" w:rsidRPr="00956368" w:rsidRDefault="003A20EC" w:rsidP="008845A6">
            <w:pPr>
              <w:jc w:val="center"/>
              <w:rPr>
                <w:rFonts w:ascii="Gill Sans Nova Light" w:hAnsi="Gill Sans Nova Light"/>
                <w:b/>
                <w:bCs/>
                <w:color w:val="1D1D1B"/>
                <w:szCs w:val="18"/>
              </w:rPr>
            </w:pPr>
            <w:r>
              <w:rPr>
                <w:rFonts w:ascii="Gill Sans Nova Light" w:hAnsi="Gill Sans Nova Light"/>
                <w:b/>
                <w:bCs/>
                <w:color w:val="1D1D1B"/>
                <w:szCs w:val="18"/>
              </w:rPr>
              <w:t>8</w:t>
            </w:r>
            <w:r w:rsidR="00C75A06">
              <w:rPr>
                <w:rFonts w:ascii="Gill Sans Nova Light" w:hAnsi="Gill Sans Nova Light"/>
                <w:b/>
                <w:bCs/>
                <w:color w:val="1D1D1B"/>
                <w:szCs w:val="18"/>
              </w:rPr>
              <w:t>9 2</w:t>
            </w:r>
            <w:r w:rsidR="008845A6" w:rsidRPr="00956368">
              <w:rPr>
                <w:rFonts w:ascii="Gill Sans Nova Light" w:hAnsi="Gill Sans Nova Light"/>
                <w:b/>
                <w:bCs/>
                <w:color w:val="1D1D1B"/>
                <w:szCs w:val="18"/>
              </w:rPr>
              <w:t xml:space="preserve">00 </w:t>
            </w:r>
            <w:r w:rsidR="00CD0D14" w:rsidRPr="00956368">
              <w:rPr>
                <w:rFonts w:ascii="Gill Sans Nova Light" w:hAnsi="Gill Sans Nova Light"/>
                <w:b/>
                <w:bCs/>
                <w:color w:val="1D1D1B"/>
                <w:szCs w:val="18"/>
              </w:rPr>
              <w:t>kr</w:t>
            </w:r>
          </w:p>
          <w:p w14:paraId="052FE62C" w14:textId="0FD01EDC" w:rsidR="000621B7" w:rsidRPr="00242529" w:rsidRDefault="008845A6" w:rsidP="008845A6">
            <w:pPr>
              <w:jc w:val="center"/>
              <w:rPr>
                <w:rFonts w:ascii="Gill Sans Nova Light" w:hAnsi="Gill Sans Nova Light"/>
                <w:color w:val="1D1D1B"/>
                <w:szCs w:val="18"/>
              </w:rPr>
            </w:pPr>
            <w:r>
              <w:rPr>
                <w:rFonts w:ascii="Gill Sans Nova Light" w:hAnsi="Gill Sans Nova Light"/>
                <w:color w:val="1D1D1B"/>
                <w:szCs w:val="18"/>
              </w:rPr>
              <w:t>-</w:t>
            </w:r>
            <w:r w:rsidR="00C75A06">
              <w:rPr>
                <w:rFonts w:ascii="Gill Sans Nova Light" w:hAnsi="Gill Sans Nova Light"/>
                <w:color w:val="1D1D1B"/>
                <w:szCs w:val="18"/>
              </w:rPr>
              <w:t>2,3</w:t>
            </w:r>
            <w:r>
              <w:rPr>
                <w:rFonts w:ascii="Gill Sans Nova Light" w:hAnsi="Gill Sans Nova Light"/>
                <w:color w:val="1D1D1B"/>
                <w:szCs w:val="18"/>
              </w:rPr>
              <w:t xml:space="preserve"> </w:t>
            </w:r>
            <w:r w:rsidR="001E3EF2" w:rsidRPr="00242529">
              <w:rPr>
                <w:rFonts w:ascii="Gill Sans Nova Light" w:hAnsi="Gill Sans Nova Light"/>
                <w:color w:val="1D1D1B"/>
                <w:szCs w:val="18"/>
              </w:rPr>
              <w:t>%</w:t>
            </w:r>
          </w:p>
        </w:tc>
      </w:tr>
      <w:tr w:rsidR="000621B7" w:rsidRPr="00242529" w14:paraId="35424C5D" w14:textId="77777777" w:rsidTr="001E3EF2">
        <w:tc>
          <w:tcPr>
            <w:tcW w:w="1276" w:type="dxa"/>
            <w:tcBorders>
              <w:top w:val="single" w:sz="2" w:space="0" w:color="17365D" w:themeColor="accent1"/>
              <w:bottom w:val="single" w:sz="2" w:space="0" w:color="17365D" w:themeColor="accent1"/>
              <w:right w:val="single" w:sz="2" w:space="0" w:color="17365D" w:themeColor="accent1"/>
            </w:tcBorders>
          </w:tcPr>
          <w:p w14:paraId="56CC1FA0" w14:textId="47E75572" w:rsidR="000621B7" w:rsidRPr="00242529" w:rsidRDefault="001E3EF2" w:rsidP="000621B7">
            <w:pPr>
              <w:rPr>
                <w:rFonts w:ascii="Gill Sans Nova Light" w:hAnsi="Gill Sans Nova Light"/>
                <w:b/>
                <w:bCs/>
                <w:color w:val="1D1D1B"/>
                <w:szCs w:val="18"/>
              </w:rPr>
            </w:pPr>
            <w:r w:rsidRPr="00242529">
              <w:rPr>
                <w:rFonts w:ascii="Gill Sans Nova Light" w:hAnsi="Gill Sans Nova Light"/>
                <w:b/>
                <w:bCs/>
                <w:color w:val="1D1D1B"/>
                <w:szCs w:val="18"/>
              </w:rPr>
              <w:t>Neutralt</w:t>
            </w:r>
          </w:p>
        </w:tc>
        <w:tc>
          <w:tcPr>
            <w:tcW w:w="3820" w:type="dxa"/>
            <w:tcBorders>
              <w:top w:val="single" w:sz="2" w:space="0" w:color="17365D" w:themeColor="accent1"/>
              <w:left w:val="single" w:sz="2" w:space="0" w:color="17365D" w:themeColor="accent1"/>
              <w:bottom w:val="single" w:sz="2" w:space="0" w:color="17365D" w:themeColor="accent1"/>
              <w:right w:val="single" w:sz="2" w:space="0" w:color="17365D" w:themeColor="accent1"/>
            </w:tcBorders>
          </w:tcPr>
          <w:p w14:paraId="1D8B37FC" w14:textId="77777777" w:rsidR="001E3EF2" w:rsidRPr="00242529" w:rsidRDefault="001E3EF2" w:rsidP="001E3EF2">
            <w:pPr>
              <w:rPr>
                <w:rFonts w:ascii="Gill Sans Nova Light" w:hAnsi="Gill Sans Nova Light"/>
                <w:color w:val="1D1D1B"/>
                <w:szCs w:val="18"/>
              </w:rPr>
            </w:pPr>
            <w:r w:rsidRPr="00242529">
              <w:rPr>
                <w:rFonts w:ascii="Gill Sans Nova Light" w:hAnsi="Gill Sans Nova Light"/>
                <w:b/>
                <w:bCs/>
                <w:color w:val="1D1D1B"/>
                <w:szCs w:val="18"/>
              </w:rPr>
              <w:t>Vad kan du få tillbaka efter avdrag för kostnader</w:t>
            </w:r>
            <w:r w:rsidRPr="00242529">
              <w:rPr>
                <w:rFonts w:ascii="Gill Sans Nova Light" w:hAnsi="Gill Sans Nova Light"/>
                <w:color w:val="1D1D1B"/>
                <w:szCs w:val="18"/>
              </w:rPr>
              <w:br/>
              <w:t>Genomsnittlig avkastning per år</w:t>
            </w:r>
          </w:p>
          <w:p w14:paraId="6FE6250C" w14:textId="77777777" w:rsidR="000621B7" w:rsidRPr="00242529" w:rsidRDefault="000621B7" w:rsidP="000621B7">
            <w:pPr>
              <w:rPr>
                <w:rFonts w:ascii="Gill Sans Nova Light" w:hAnsi="Gill Sans Nova Light"/>
                <w:color w:val="1D1D1B"/>
                <w:sz w:val="6"/>
                <w:szCs w:val="6"/>
              </w:rPr>
            </w:pPr>
          </w:p>
        </w:tc>
        <w:tc>
          <w:tcPr>
            <w:tcW w:w="2549" w:type="dxa"/>
            <w:tcBorders>
              <w:top w:val="single" w:sz="2" w:space="0" w:color="17365D" w:themeColor="accent1"/>
              <w:left w:val="single" w:sz="2" w:space="0" w:color="17365D" w:themeColor="accent1"/>
              <w:bottom w:val="single" w:sz="2" w:space="0" w:color="17365D" w:themeColor="accent1"/>
              <w:right w:val="single" w:sz="2" w:space="0" w:color="17365D" w:themeColor="accent1"/>
            </w:tcBorders>
          </w:tcPr>
          <w:p w14:paraId="178A2A1B" w14:textId="0F776AB7" w:rsidR="00CD0D14" w:rsidRPr="00956368" w:rsidRDefault="008845A6" w:rsidP="008845A6">
            <w:pPr>
              <w:jc w:val="center"/>
              <w:rPr>
                <w:rFonts w:ascii="Gill Sans Nova Light" w:hAnsi="Gill Sans Nova Light"/>
                <w:b/>
                <w:bCs/>
                <w:color w:val="1D1D1B"/>
                <w:szCs w:val="18"/>
              </w:rPr>
            </w:pPr>
            <w:r w:rsidRPr="00956368">
              <w:rPr>
                <w:rFonts w:ascii="Gill Sans Nova Light" w:hAnsi="Gill Sans Nova Light"/>
                <w:b/>
                <w:bCs/>
                <w:color w:val="1D1D1B"/>
                <w:szCs w:val="18"/>
              </w:rPr>
              <w:t>11</w:t>
            </w:r>
            <w:r w:rsidR="003A20EC">
              <w:rPr>
                <w:rFonts w:ascii="Gill Sans Nova Light" w:hAnsi="Gill Sans Nova Light"/>
                <w:b/>
                <w:bCs/>
                <w:color w:val="1D1D1B"/>
                <w:szCs w:val="18"/>
              </w:rPr>
              <w:t xml:space="preserve">0 </w:t>
            </w:r>
            <w:r w:rsidR="00C75A06">
              <w:rPr>
                <w:rFonts w:ascii="Gill Sans Nova Light" w:hAnsi="Gill Sans Nova Light"/>
                <w:b/>
                <w:bCs/>
                <w:color w:val="1D1D1B"/>
                <w:szCs w:val="18"/>
              </w:rPr>
              <w:t>0</w:t>
            </w:r>
            <w:r w:rsidR="003A20EC">
              <w:rPr>
                <w:rFonts w:ascii="Gill Sans Nova Light" w:hAnsi="Gill Sans Nova Light"/>
                <w:b/>
                <w:bCs/>
                <w:color w:val="1D1D1B"/>
                <w:szCs w:val="18"/>
              </w:rPr>
              <w:t>0</w:t>
            </w:r>
            <w:r w:rsidRPr="00956368">
              <w:rPr>
                <w:rFonts w:ascii="Gill Sans Nova Light" w:hAnsi="Gill Sans Nova Light"/>
                <w:b/>
                <w:bCs/>
                <w:color w:val="1D1D1B"/>
                <w:szCs w:val="18"/>
              </w:rPr>
              <w:t xml:space="preserve">0 </w:t>
            </w:r>
            <w:r w:rsidR="00CD0D14" w:rsidRPr="00956368">
              <w:rPr>
                <w:rFonts w:ascii="Gill Sans Nova Light" w:hAnsi="Gill Sans Nova Light"/>
                <w:b/>
                <w:bCs/>
                <w:color w:val="1D1D1B"/>
                <w:szCs w:val="18"/>
              </w:rPr>
              <w:t>kr</w:t>
            </w:r>
          </w:p>
          <w:p w14:paraId="6B283B16" w14:textId="4FFBB5D7" w:rsidR="000621B7" w:rsidRPr="00242529" w:rsidRDefault="008845A6" w:rsidP="008845A6">
            <w:pPr>
              <w:jc w:val="center"/>
              <w:rPr>
                <w:rFonts w:ascii="Gill Sans Nova Light" w:hAnsi="Gill Sans Nova Light"/>
                <w:color w:val="1D1D1B"/>
                <w:szCs w:val="18"/>
              </w:rPr>
            </w:pPr>
            <w:r>
              <w:rPr>
                <w:rFonts w:ascii="Gill Sans Nova Light" w:hAnsi="Gill Sans Nova Light"/>
                <w:color w:val="1D1D1B"/>
                <w:szCs w:val="18"/>
              </w:rPr>
              <w:t>1</w:t>
            </w:r>
            <w:r w:rsidR="003A20EC">
              <w:rPr>
                <w:rFonts w:ascii="Gill Sans Nova Light" w:hAnsi="Gill Sans Nova Light"/>
                <w:color w:val="1D1D1B"/>
                <w:szCs w:val="18"/>
              </w:rPr>
              <w:t>0,</w:t>
            </w:r>
            <w:r w:rsidR="00C75A06">
              <w:rPr>
                <w:rFonts w:ascii="Gill Sans Nova Light" w:hAnsi="Gill Sans Nova Light"/>
                <w:color w:val="1D1D1B"/>
                <w:szCs w:val="18"/>
              </w:rPr>
              <w:t>0</w:t>
            </w:r>
            <w:r>
              <w:rPr>
                <w:rFonts w:ascii="Gill Sans Nova Light" w:hAnsi="Gill Sans Nova Light"/>
                <w:color w:val="1D1D1B"/>
                <w:szCs w:val="18"/>
              </w:rPr>
              <w:t xml:space="preserve"> </w:t>
            </w:r>
            <w:r w:rsidR="001E3EF2" w:rsidRPr="00242529">
              <w:rPr>
                <w:rFonts w:ascii="Gill Sans Nova Light" w:hAnsi="Gill Sans Nova Light"/>
                <w:color w:val="1D1D1B"/>
                <w:szCs w:val="18"/>
              </w:rPr>
              <w:t>%</w:t>
            </w:r>
          </w:p>
        </w:tc>
        <w:tc>
          <w:tcPr>
            <w:tcW w:w="2549" w:type="dxa"/>
            <w:tcBorders>
              <w:top w:val="single" w:sz="2" w:space="0" w:color="17365D" w:themeColor="accent1"/>
              <w:left w:val="single" w:sz="2" w:space="0" w:color="17365D" w:themeColor="accent1"/>
              <w:bottom w:val="single" w:sz="2" w:space="0" w:color="17365D" w:themeColor="accent1"/>
            </w:tcBorders>
          </w:tcPr>
          <w:p w14:paraId="2A7E09FA" w14:textId="2DD3C371" w:rsidR="00CD0D14" w:rsidRPr="00956368" w:rsidRDefault="008845A6" w:rsidP="008845A6">
            <w:pPr>
              <w:jc w:val="center"/>
              <w:rPr>
                <w:rFonts w:ascii="Gill Sans Nova Light" w:hAnsi="Gill Sans Nova Light"/>
                <w:b/>
                <w:bCs/>
                <w:color w:val="1D1D1B"/>
                <w:szCs w:val="18"/>
              </w:rPr>
            </w:pPr>
            <w:r w:rsidRPr="00956368">
              <w:rPr>
                <w:rFonts w:ascii="Gill Sans Nova Light" w:hAnsi="Gill Sans Nova Light"/>
                <w:b/>
                <w:bCs/>
                <w:color w:val="1D1D1B"/>
                <w:szCs w:val="18"/>
              </w:rPr>
              <w:t>1</w:t>
            </w:r>
            <w:r w:rsidR="00C75A06">
              <w:rPr>
                <w:rFonts w:ascii="Gill Sans Nova Light" w:hAnsi="Gill Sans Nova Light"/>
                <w:b/>
                <w:bCs/>
                <w:color w:val="1D1D1B"/>
                <w:szCs w:val="18"/>
              </w:rPr>
              <w:t>51 6</w:t>
            </w:r>
            <w:r w:rsidRPr="00956368">
              <w:rPr>
                <w:rFonts w:ascii="Gill Sans Nova Light" w:hAnsi="Gill Sans Nova Light"/>
                <w:b/>
                <w:bCs/>
                <w:color w:val="1D1D1B"/>
                <w:szCs w:val="18"/>
              </w:rPr>
              <w:t xml:space="preserve">00 </w:t>
            </w:r>
            <w:r w:rsidR="00CD0D14" w:rsidRPr="00956368">
              <w:rPr>
                <w:rFonts w:ascii="Gill Sans Nova Light" w:hAnsi="Gill Sans Nova Light"/>
                <w:b/>
                <w:bCs/>
                <w:color w:val="1D1D1B"/>
                <w:szCs w:val="18"/>
              </w:rPr>
              <w:t>kr</w:t>
            </w:r>
          </w:p>
          <w:p w14:paraId="016FB368" w14:textId="27596797" w:rsidR="000621B7" w:rsidRPr="00242529" w:rsidRDefault="00C75A06" w:rsidP="008845A6">
            <w:pPr>
              <w:jc w:val="center"/>
              <w:rPr>
                <w:rFonts w:ascii="Gill Sans Nova Light" w:hAnsi="Gill Sans Nova Light"/>
                <w:color w:val="1D1D1B"/>
                <w:szCs w:val="18"/>
              </w:rPr>
            </w:pPr>
            <w:r>
              <w:rPr>
                <w:rFonts w:ascii="Gill Sans Nova Light" w:hAnsi="Gill Sans Nova Light"/>
                <w:color w:val="1D1D1B"/>
                <w:szCs w:val="18"/>
              </w:rPr>
              <w:t>8,7</w:t>
            </w:r>
            <w:r w:rsidR="008845A6">
              <w:rPr>
                <w:rFonts w:ascii="Gill Sans Nova Light" w:hAnsi="Gill Sans Nova Light"/>
                <w:color w:val="1D1D1B"/>
                <w:szCs w:val="18"/>
              </w:rPr>
              <w:t xml:space="preserve"> </w:t>
            </w:r>
            <w:r w:rsidR="001E3EF2" w:rsidRPr="00242529">
              <w:rPr>
                <w:rFonts w:ascii="Gill Sans Nova Light" w:hAnsi="Gill Sans Nova Light"/>
                <w:color w:val="1D1D1B"/>
                <w:szCs w:val="18"/>
              </w:rPr>
              <w:t>%</w:t>
            </w:r>
          </w:p>
        </w:tc>
      </w:tr>
      <w:tr w:rsidR="000621B7" w:rsidRPr="00242529" w14:paraId="6A2C6F0A" w14:textId="77777777" w:rsidTr="001E3EF2">
        <w:tc>
          <w:tcPr>
            <w:tcW w:w="1276" w:type="dxa"/>
            <w:tcBorders>
              <w:top w:val="single" w:sz="2" w:space="0" w:color="17365D" w:themeColor="accent1"/>
              <w:bottom w:val="single" w:sz="2" w:space="0" w:color="17365D" w:themeColor="accent1"/>
              <w:right w:val="single" w:sz="2" w:space="0" w:color="17365D" w:themeColor="accent1"/>
            </w:tcBorders>
          </w:tcPr>
          <w:p w14:paraId="4B784C60" w14:textId="3D583F83" w:rsidR="000621B7" w:rsidRPr="00242529" w:rsidRDefault="001E3EF2" w:rsidP="000621B7">
            <w:pPr>
              <w:rPr>
                <w:rFonts w:ascii="Gill Sans Nova Light" w:hAnsi="Gill Sans Nova Light"/>
                <w:b/>
                <w:bCs/>
                <w:color w:val="1D1D1B"/>
                <w:szCs w:val="18"/>
              </w:rPr>
            </w:pPr>
            <w:r w:rsidRPr="00242529">
              <w:rPr>
                <w:rFonts w:ascii="Gill Sans Nova Light" w:hAnsi="Gill Sans Nova Light"/>
                <w:b/>
                <w:bCs/>
                <w:color w:val="1D1D1B"/>
                <w:szCs w:val="18"/>
              </w:rPr>
              <w:t>Positivt</w:t>
            </w:r>
          </w:p>
        </w:tc>
        <w:tc>
          <w:tcPr>
            <w:tcW w:w="3820" w:type="dxa"/>
            <w:tcBorders>
              <w:top w:val="single" w:sz="2" w:space="0" w:color="17365D" w:themeColor="accent1"/>
              <w:left w:val="single" w:sz="2" w:space="0" w:color="17365D" w:themeColor="accent1"/>
              <w:bottom w:val="single" w:sz="2" w:space="0" w:color="17365D" w:themeColor="accent1"/>
              <w:right w:val="single" w:sz="2" w:space="0" w:color="17365D" w:themeColor="accent1"/>
            </w:tcBorders>
          </w:tcPr>
          <w:p w14:paraId="00EF6F68" w14:textId="77777777" w:rsidR="001E3EF2" w:rsidRPr="00242529" w:rsidRDefault="001E3EF2" w:rsidP="001E3EF2">
            <w:pPr>
              <w:rPr>
                <w:rFonts w:ascii="Gill Sans Nova Light" w:hAnsi="Gill Sans Nova Light"/>
                <w:color w:val="1D1D1B"/>
                <w:szCs w:val="18"/>
              </w:rPr>
            </w:pPr>
            <w:r w:rsidRPr="00242529">
              <w:rPr>
                <w:rFonts w:ascii="Gill Sans Nova Light" w:hAnsi="Gill Sans Nova Light"/>
                <w:b/>
                <w:bCs/>
                <w:color w:val="1D1D1B"/>
                <w:szCs w:val="18"/>
              </w:rPr>
              <w:t>Vad kan du få tillbaka efter avdrag för kostnader</w:t>
            </w:r>
            <w:r w:rsidRPr="00242529">
              <w:rPr>
                <w:rFonts w:ascii="Gill Sans Nova Light" w:hAnsi="Gill Sans Nova Light"/>
                <w:color w:val="1D1D1B"/>
                <w:szCs w:val="18"/>
              </w:rPr>
              <w:br/>
              <w:t>Genomsnittlig avkastning per år</w:t>
            </w:r>
          </w:p>
          <w:p w14:paraId="6116D3E1" w14:textId="77777777" w:rsidR="000621B7" w:rsidRPr="00242529" w:rsidRDefault="000621B7" w:rsidP="000621B7">
            <w:pPr>
              <w:rPr>
                <w:rFonts w:ascii="Gill Sans Nova Light" w:hAnsi="Gill Sans Nova Light"/>
                <w:color w:val="1D1D1B"/>
                <w:sz w:val="6"/>
                <w:szCs w:val="6"/>
              </w:rPr>
            </w:pPr>
          </w:p>
        </w:tc>
        <w:tc>
          <w:tcPr>
            <w:tcW w:w="2549" w:type="dxa"/>
            <w:tcBorders>
              <w:top w:val="single" w:sz="2" w:space="0" w:color="17365D" w:themeColor="accent1"/>
              <w:left w:val="single" w:sz="2" w:space="0" w:color="17365D" w:themeColor="accent1"/>
              <w:bottom w:val="single" w:sz="2" w:space="0" w:color="17365D" w:themeColor="accent1"/>
              <w:right w:val="single" w:sz="2" w:space="0" w:color="17365D" w:themeColor="accent1"/>
            </w:tcBorders>
          </w:tcPr>
          <w:p w14:paraId="40519031" w14:textId="37148633" w:rsidR="00CD0D14" w:rsidRPr="00956368" w:rsidRDefault="008845A6" w:rsidP="008845A6">
            <w:pPr>
              <w:jc w:val="center"/>
              <w:rPr>
                <w:rFonts w:ascii="Gill Sans Nova Light" w:hAnsi="Gill Sans Nova Light"/>
                <w:b/>
                <w:bCs/>
                <w:color w:val="1D1D1B"/>
                <w:szCs w:val="18"/>
              </w:rPr>
            </w:pPr>
            <w:r w:rsidRPr="00956368">
              <w:rPr>
                <w:rFonts w:ascii="Gill Sans Nova Light" w:hAnsi="Gill Sans Nova Light"/>
                <w:b/>
                <w:bCs/>
                <w:color w:val="1D1D1B"/>
                <w:szCs w:val="18"/>
              </w:rPr>
              <w:t xml:space="preserve">167 800 </w:t>
            </w:r>
            <w:r w:rsidR="00CD0D14" w:rsidRPr="00956368">
              <w:rPr>
                <w:rFonts w:ascii="Gill Sans Nova Light" w:hAnsi="Gill Sans Nova Light"/>
                <w:b/>
                <w:bCs/>
                <w:color w:val="1D1D1B"/>
                <w:szCs w:val="18"/>
              </w:rPr>
              <w:t>kr</w:t>
            </w:r>
          </w:p>
          <w:p w14:paraId="43CB4E88" w14:textId="5B6C6C3D" w:rsidR="000621B7" w:rsidRPr="00242529" w:rsidRDefault="008845A6" w:rsidP="008845A6">
            <w:pPr>
              <w:jc w:val="center"/>
              <w:rPr>
                <w:rFonts w:ascii="Gill Sans Nova Light" w:hAnsi="Gill Sans Nova Light"/>
                <w:color w:val="1D1D1B"/>
                <w:szCs w:val="18"/>
              </w:rPr>
            </w:pPr>
            <w:r>
              <w:rPr>
                <w:rFonts w:ascii="Gill Sans Nova Light" w:hAnsi="Gill Sans Nova Light"/>
                <w:color w:val="1D1D1B"/>
                <w:szCs w:val="18"/>
              </w:rPr>
              <w:t>67,</w:t>
            </w:r>
            <w:r w:rsidR="00C94FAE">
              <w:rPr>
                <w:rFonts w:ascii="Gill Sans Nova Light" w:hAnsi="Gill Sans Nova Light"/>
                <w:color w:val="1D1D1B"/>
                <w:szCs w:val="18"/>
              </w:rPr>
              <w:t>8</w:t>
            </w:r>
            <w:r>
              <w:rPr>
                <w:rFonts w:ascii="Gill Sans Nova Light" w:hAnsi="Gill Sans Nova Light"/>
                <w:color w:val="1D1D1B"/>
                <w:szCs w:val="18"/>
              </w:rPr>
              <w:t xml:space="preserve"> </w:t>
            </w:r>
            <w:r w:rsidR="001E3EF2" w:rsidRPr="00242529">
              <w:rPr>
                <w:rFonts w:ascii="Gill Sans Nova Light" w:hAnsi="Gill Sans Nova Light"/>
                <w:color w:val="1D1D1B"/>
                <w:szCs w:val="18"/>
              </w:rPr>
              <w:t>%</w:t>
            </w:r>
          </w:p>
        </w:tc>
        <w:tc>
          <w:tcPr>
            <w:tcW w:w="2549" w:type="dxa"/>
            <w:tcBorders>
              <w:top w:val="single" w:sz="2" w:space="0" w:color="17365D" w:themeColor="accent1"/>
              <w:left w:val="single" w:sz="2" w:space="0" w:color="17365D" w:themeColor="accent1"/>
              <w:bottom w:val="single" w:sz="2" w:space="0" w:color="17365D" w:themeColor="accent1"/>
            </w:tcBorders>
          </w:tcPr>
          <w:p w14:paraId="14156F83" w14:textId="4E6C4861" w:rsidR="00CD0D14" w:rsidRPr="00956368" w:rsidRDefault="008845A6" w:rsidP="008845A6">
            <w:pPr>
              <w:jc w:val="center"/>
              <w:rPr>
                <w:rFonts w:ascii="Gill Sans Nova Light" w:hAnsi="Gill Sans Nova Light"/>
                <w:b/>
                <w:bCs/>
                <w:color w:val="1D1D1B"/>
                <w:szCs w:val="18"/>
              </w:rPr>
            </w:pPr>
            <w:r w:rsidRPr="00956368">
              <w:rPr>
                <w:rFonts w:ascii="Gill Sans Nova Light" w:hAnsi="Gill Sans Nova Light"/>
                <w:b/>
                <w:bCs/>
                <w:color w:val="1D1D1B"/>
                <w:szCs w:val="18"/>
              </w:rPr>
              <w:t>2</w:t>
            </w:r>
            <w:r w:rsidR="003A20EC">
              <w:rPr>
                <w:rFonts w:ascii="Gill Sans Nova Light" w:hAnsi="Gill Sans Nova Light"/>
                <w:b/>
                <w:bCs/>
                <w:color w:val="1D1D1B"/>
                <w:szCs w:val="18"/>
              </w:rPr>
              <w:t>17 3</w:t>
            </w:r>
            <w:r w:rsidRPr="00956368">
              <w:rPr>
                <w:rFonts w:ascii="Gill Sans Nova Light" w:hAnsi="Gill Sans Nova Light"/>
                <w:b/>
                <w:bCs/>
                <w:color w:val="1D1D1B"/>
                <w:szCs w:val="18"/>
              </w:rPr>
              <w:t xml:space="preserve">00 </w:t>
            </w:r>
            <w:r w:rsidR="00CD0D14" w:rsidRPr="00956368">
              <w:rPr>
                <w:rFonts w:ascii="Gill Sans Nova Light" w:hAnsi="Gill Sans Nova Light"/>
                <w:b/>
                <w:bCs/>
                <w:color w:val="1D1D1B"/>
                <w:szCs w:val="18"/>
              </w:rPr>
              <w:t>kr</w:t>
            </w:r>
          </w:p>
          <w:p w14:paraId="6990918B" w14:textId="27EEF025" w:rsidR="000621B7" w:rsidRPr="00242529" w:rsidRDefault="008845A6" w:rsidP="008845A6">
            <w:pPr>
              <w:jc w:val="center"/>
              <w:rPr>
                <w:rFonts w:ascii="Gill Sans Nova Light" w:hAnsi="Gill Sans Nova Light"/>
                <w:color w:val="1D1D1B"/>
                <w:szCs w:val="18"/>
              </w:rPr>
            </w:pPr>
            <w:r>
              <w:rPr>
                <w:rFonts w:ascii="Gill Sans Nova Light" w:hAnsi="Gill Sans Nova Light"/>
                <w:color w:val="1D1D1B"/>
                <w:szCs w:val="18"/>
              </w:rPr>
              <w:t>1</w:t>
            </w:r>
            <w:r w:rsidR="003A20EC">
              <w:rPr>
                <w:rFonts w:ascii="Gill Sans Nova Light" w:hAnsi="Gill Sans Nova Light"/>
                <w:color w:val="1D1D1B"/>
                <w:szCs w:val="18"/>
              </w:rPr>
              <w:t>6,8</w:t>
            </w:r>
            <w:r>
              <w:rPr>
                <w:rFonts w:ascii="Gill Sans Nova Light" w:hAnsi="Gill Sans Nova Light"/>
                <w:color w:val="1D1D1B"/>
                <w:szCs w:val="18"/>
              </w:rPr>
              <w:t xml:space="preserve"> </w:t>
            </w:r>
            <w:r w:rsidR="001E3EF2" w:rsidRPr="00242529">
              <w:rPr>
                <w:rFonts w:ascii="Gill Sans Nova Light" w:hAnsi="Gill Sans Nova Light"/>
                <w:color w:val="1D1D1B"/>
                <w:szCs w:val="18"/>
              </w:rPr>
              <w:t>%</w:t>
            </w:r>
          </w:p>
        </w:tc>
      </w:tr>
      <w:bookmarkEnd w:id="0"/>
    </w:tbl>
    <w:p w14:paraId="0C24CC71" w14:textId="77777777" w:rsidR="007D2060" w:rsidRPr="00242529" w:rsidRDefault="007D2060" w:rsidP="00D75CA4">
      <w:pPr>
        <w:rPr>
          <w:sz w:val="4"/>
          <w:szCs w:val="4"/>
        </w:rPr>
        <w:sectPr w:rsidR="007D2060" w:rsidRPr="00242529" w:rsidSect="009332F4">
          <w:type w:val="continuous"/>
          <w:pgSz w:w="11906" w:h="16838" w:code="9"/>
          <w:pgMar w:top="1134" w:right="851" w:bottom="567" w:left="851" w:header="510" w:footer="283" w:gutter="0"/>
          <w:cols w:space="567"/>
          <w:docGrid w:linePitch="360"/>
        </w:sectPr>
      </w:pPr>
    </w:p>
    <w:p w14:paraId="5324A256" w14:textId="77777777" w:rsidR="00647776" w:rsidRPr="00242529" w:rsidRDefault="003E36DE" w:rsidP="00647776">
      <w:pPr>
        <w:pStyle w:val="Heading4"/>
      </w:pPr>
      <w:r w:rsidRPr="00242529">
        <w:t>Vad händer om Cliens Kapitalförvaltning inte kan göra några utbetalningar?</w:t>
      </w:r>
    </w:p>
    <w:p w14:paraId="5F355288" w14:textId="77777777" w:rsidR="00647776" w:rsidRPr="00242529" w:rsidRDefault="003E36DE" w:rsidP="00647776">
      <w:r w:rsidRPr="00242529">
        <w:t xml:space="preserve">Fondens tillgångar får enligt lag inte förvaras av fondbolaget. I stället måste varje fond ha ett särskilt förvaringsinstitut som tar hand om förvaringen av </w:t>
      </w:r>
      <w:r w:rsidR="00647776" w:rsidRPr="00242529">
        <w:t>fondens tillgångar. I det fall fondbolaget skulle gå i konkurs tas förvaltningen av fonden över av förvaringsinstitutet. Det finns ingen annan kompensations- eller garantiordning för investerare i fonden.</w:t>
      </w:r>
    </w:p>
    <w:p w14:paraId="38E1303C" w14:textId="4A2A98D0" w:rsidR="003F5387" w:rsidRPr="00242529" w:rsidRDefault="00647776" w:rsidP="00647776">
      <w:pPr>
        <w:pStyle w:val="Heading4"/>
      </w:pPr>
      <w:r w:rsidRPr="00242529">
        <w:t>Vilka är kostnaderna?</w:t>
      </w:r>
    </w:p>
    <w:p w14:paraId="305AB272" w14:textId="4D949949" w:rsidR="00647776" w:rsidRPr="00242529" w:rsidRDefault="00647776" w:rsidP="00647776">
      <w:r w:rsidRPr="00242529">
        <w:t>Den person som ger dig råd om eller säljer produkten kan ta ut andra kostnader</w:t>
      </w:r>
      <w:r w:rsidR="00DA39B7" w:rsidRPr="00242529">
        <w:t xml:space="preserve">. Om så är fallet ska personen i fråga informera dig om dessa kostnader och om hur de påverkar din investering. Om fonden ingår som en del i en annan produkt, </w:t>
      </w:r>
      <w:proofErr w:type="gramStart"/>
      <w:r w:rsidR="00DA39B7" w:rsidRPr="00242529">
        <w:t>t.ex.</w:t>
      </w:r>
      <w:proofErr w:type="gramEnd"/>
      <w:r w:rsidR="00DA39B7" w:rsidRPr="00242529">
        <w:t xml:space="preserve"> fondförsäkring, kan det tillkomma andra kostnader för produkten.</w:t>
      </w:r>
    </w:p>
    <w:p w14:paraId="58C96474" w14:textId="5AC36647" w:rsidR="00DA39B7" w:rsidRPr="00242529" w:rsidRDefault="00DA39B7" w:rsidP="00DA39B7">
      <w:pPr>
        <w:spacing w:after="40"/>
        <w:rPr>
          <w:b/>
          <w:bCs/>
        </w:rPr>
      </w:pPr>
      <w:r w:rsidRPr="00242529">
        <w:rPr>
          <w:b/>
          <w:bCs/>
        </w:rPr>
        <w:t>Kostnader över tid</w:t>
      </w:r>
    </w:p>
    <w:p w14:paraId="153794ED" w14:textId="06902F08" w:rsidR="00DA39B7" w:rsidRPr="00242529" w:rsidRDefault="00DA39B7" w:rsidP="00647776">
      <w:r w:rsidRPr="00242529">
        <w:t>Tabellerna visar de belopp som tas från din investering för att täcka olika typer av kostnader. Beloppens storlek beror på hur mycket du investerar, hur länge du innehar produkten och hur din produkt presterar. Beloppen som visas här är baserade på ett exempel på investeringsbelopp och olika investeringsperioder.</w:t>
      </w:r>
    </w:p>
    <w:p w14:paraId="6CD71A36" w14:textId="6CEEC451" w:rsidR="00DA39B7" w:rsidRPr="00242529" w:rsidRDefault="00DA39B7" w:rsidP="00647776">
      <w:r w:rsidRPr="00242529">
        <w:t>Vi har antagit följande:</w:t>
      </w:r>
      <w:r w:rsidRPr="00242529">
        <w:br/>
        <w:t>- Det första året får du tillbaka det belopp som du investerat (0 % årlig avkastning). För 5 år har vi antagit att produkten presterar i enlighet med vad som visas i det neutrala scenariot.</w:t>
      </w:r>
      <w:r w:rsidRPr="00242529">
        <w:br/>
        <w:t>- 100 000 kr investeras</w:t>
      </w:r>
    </w:p>
    <w:tbl>
      <w:tblPr>
        <w:tblStyle w:val="TableGrid"/>
        <w:tblW w:w="0" w:type="auto"/>
        <w:tblBorders>
          <w:top w:val="single" w:sz="2" w:space="0" w:color="17365D" w:themeColor="accent1"/>
          <w:left w:val="single" w:sz="2" w:space="0" w:color="17365D" w:themeColor="accent1"/>
          <w:bottom w:val="single" w:sz="2" w:space="0" w:color="17365D" w:themeColor="accent1"/>
          <w:right w:val="single" w:sz="2" w:space="0" w:color="17365D" w:themeColor="accent1"/>
          <w:insideH w:val="single" w:sz="2" w:space="0" w:color="17365D" w:themeColor="accent1"/>
          <w:insideV w:val="single" w:sz="2" w:space="0" w:color="17365D" w:themeColor="accent1"/>
        </w:tblBorders>
        <w:tblLook w:val="04A0" w:firstRow="1" w:lastRow="0" w:firstColumn="1" w:lastColumn="0" w:noHBand="0" w:noVBand="1"/>
      </w:tblPr>
      <w:tblGrid>
        <w:gridCol w:w="2268"/>
        <w:gridCol w:w="2552"/>
        <w:gridCol w:w="2551"/>
      </w:tblGrid>
      <w:tr w:rsidR="00DA39B7" w:rsidRPr="00242529" w14:paraId="1E200D52" w14:textId="77777777" w:rsidTr="00DA39B7">
        <w:tc>
          <w:tcPr>
            <w:tcW w:w="2268" w:type="dxa"/>
            <w:shd w:val="clear" w:color="auto" w:fill="17365D" w:themeFill="accent1"/>
          </w:tcPr>
          <w:p w14:paraId="5319F84D" w14:textId="77777777" w:rsidR="00DA39B7" w:rsidRPr="00242529" w:rsidRDefault="00DA39B7" w:rsidP="00647776">
            <w:pPr>
              <w:rPr>
                <w:b/>
                <w:bCs/>
                <w:color w:val="FFFFFF" w:themeColor="background1"/>
              </w:rPr>
            </w:pPr>
          </w:p>
        </w:tc>
        <w:tc>
          <w:tcPr>
            <w:tcW w:w="2552" w:type="dxa"/>
            <w:shd w:val="clear" w:color="auto" w:fill="17365D" w:themeFill="accent1"/>
          </w:tcPr>
          <w:p w14:paraId="26578ACD" w14:textId="7250497D" w:rsidR="00DA39B7" w:rsidRPr="00242529" w:rsidRDefault="00DA39B7" w:rsidP="00647776">
            <w:pPr>
              <w:rPr>
                <w:b/>
                <w:bCs/>
                <w:color w:val="FFFFFF" w:themeColor="background1"/>
              </w:rPr>
            </w:pPr>
            <w:r w:rsidRPr="00242529">
              <w:rPr>
                <w:b/>
                <w:bCs/>
                <w:color w:val="FFFFFF" w:themeColor="background1"/>
              </w:rPr>
              <w:t>Om du löser in efter 1 år</w:t>
            </w:r>
          </w:p>
        </w:tc>
        <w:tc>
          <w:tcPr>
            <w:tcW w:w="2551" w:type="dxa"/>
            <w:shd w:val="clear" w:color="auto" w:fill="17365D" w:themeFill="accent1"/>
          </w:tcPr>
          <w:p w14:paraId="4EDBE9A2" w14:textId="77777777" w:rsidR="00DA39B7" w:rsidRDefault="00DA39B7" w:rsidP="00647776">
            <w:pPr>
              <w:rPr>
                <w:b/>
                <w:bCs/>
                <w:color w:val="FFFFFF" w:themeColor="background1"/>
              </w:rPr>
            </w:pPr>
            <w:r w:rsidRPr="00242529">
              <w:rPr>
                <w:b/>
                <w:bCs/>
                <w:color w:val="FFFFFF" w:themeColor="background1"/>
              </w:rPr>
              <w:t>Om du löser in efter 5 år</w:t>
            </w:r>
            <w:r w:rsidRPr="00242529">
              <w:rPr>
                <w:b/>
                <w:bCs/>
                <w:color w:val="FFFFFF" w:themeColor="background1"/>
              </w:rPr>
              <w:br/>
              <w:t>(Rekommenderad innehavstid)</w:t>
            </w:r>
          </w:p>
          <w:p w14:paraId="0774925F" w14:textId="7CD33D19" w:rsidR="00161C04" w:rsidRPr="00161C04" w:rsidRDefault="00161C04" w:rsidP="00647776">
            <w:pPr>
              <w:rPr>
                <w:b/>
                <w:bCs/>
                <w:color w:val="FFFFFF" w:themeColor="background1"/>
                <w:sz w:val="6"/>
                <w:szCs w:val="6"/>
              </w:rPr>
            </w:pPr>
          </w:p>
        </w:tc>
      </w:tr>
      <w:tr w:rsidR="00DA39B7" w:rsidRPr="00242529" w14:paraId="3A3D3E73" w14:textId="77777777" w:rsidTr="00BB784A">
        <w:trPr>
          <w:trHeight w:val="340"/>
        </w:trPr>
        <w:tc>
          <w:tcPr>
            <w:tcW w:w="2268" w:type="dxa"/>
            <w:vAlign w:val="center"/>
          </w:tcPr>
          <w:p w14:paraId="4EABCF37" w14:textId="0FF405D1" w:rsidR="00DA39B7" w:rsidRPr="00BB784A" w:rsidRDefault="00DA39B7" w:rsidP="00BB784A">
            <w:r w:rsidRPr="00242529">
              <w:t>Totala kostnader</w:t>
            </w:r>
          </w:p>
        </w:tc>
        <w:tc>
          <w:tcPr>
            <w:tcW w:w="2552" w:type="dxa"/>
            <w:vAlign w:val="center"/>
          </w:tcPr>
          <w:p w14:paraId="30395550" w14:textId="77335410" w:rsidR="00DA39B7" w:rsidRPr="00A04900" w:rsidRDefault="00BB784A" w:rsidP="00BB784A">
            <w:pPr>
              <w:rPr>
                <w:rFonts w:ascii="Gill Sans Nova Light" w:hAnsi="Gill Sans Nova Light"/>
                <w:color w:val="1D1D1B"/>
                <w:szCs w:val="18"/>
              </w:rPr>
            </w:pPr>
            <w:r>
              <w:rPr>
                <w:rFonts w:ascii="Gill Sans Nova Light" w:hAnsi="Gill Sans Nova Light"/>
                <w:color w:val="1D1D1B"/>
                <w:szCs w:val="18"/>
              </w:rPr>
              <w:t>1 </w:t>
            </w:r>
            <w:r w:rsidR="00C75A06">
              <w:rPr>
                <w:rFonts w:ascii="Gill Sans Nova Light" w:hAnsi="Gill Sans Nova Light"/>
                <w:color w:val="1D1D1B"/>
                <w:szCs w:val="18"/>
              </w:rPr>
              <w:t>4</w:t>
            </w:r>
            <w:r w:rsidR="00B21051">
              <w:rPr>
                <w:rFonts w:ascii="Gill Sans Nova Light" w:hAnsi="Gill Sans Nova Light"/>
                <w:color w:val="1D1D1B"/>
                <w:szCs w:val="18"/>
              </w:rPr>
              <w:t>8</w:t>
            </w:r>
            <w:r w:rsidR="00C64D43">
              <w:rPr>
                <w:rFonts w:ascii="Gill Sans Nova Light" w:hAnsi="Gill Sans Nova Light"/>
                <w:color w:val="1D1D1B"/>
                <w:szCs w:val="18"/>
              </w:rPr>
              <w:t>0</w:t>
            </w:r>
            <w:r>
              <w:rPr>
                <w:rFonts w:ascii="Gill Sans Nova Light" w:hAnsi="Gill Sans Nova Light"/>
                <w:color w:val="1D1D1B"/>
                <w:szCs w:val="18"/>
              </w:rPr>
              <w:t xml:space="preserve"> </w:t>
            </w:r>
            <w:r w:rsidR="00CD0D14">
              <w:rPr>
                <w:rFonts w:ascii="Gill Sans Nova Light" w:hAnsi="Gill Sans Nova Light"/>
                <w:color w:val="1D1D1B"/>
                <w:szCs w:val="18"/>
              </w:rPr>
              <w:t>kr</w:t>
            </w:r>
          </w:p>
        </w:tc>
        <w:tc>
          <w:tcPr>
            <w:tcW w:w="2551" w:type="dxa"/>
            <w:vAlign w:val="center"/>
          </w:tcPr>
          <w:p w14:paraId="228A99DB" w14:textId="5EE9BDB1" w:rsidR="00DA39B7" w:rsidRPr="00A04900" w:rsidRDefault="00BB784A" w:rsidP="00BB784A">
            <w:pPr>
              <w:rPr>
                <w:rFonts w:ascii="Gill Sans Nova Light" w:hAnsi="Gill Sans Nova Light"/>
                <w:color w:val="1D1D1B"/>
                <w:szCs w:val="18"/>
              </w:rPr>
            </w:pPr>
            <w:r>
              <w:rPr>
                <w:rFonts w:ascii="Gill Sans Nova Light" w:hAnsi="Gill Sans Nova Light"/>
                <w:color w:val="1D1D1B"/>
                <w:szCs w:val="18"/>
              </w:rPr>
              <w:t>1</w:t>
            </w:r>
            <w:r w:rsidR="00C75A06">
              <w:rPr>
                <w:rFonts w:ascii="Gill Sans Nova Light" w:hAnsi="Gill Sans Nova Light"/>
                <w:color w:val="1D1D1B"/>
                <w:szCs w:val="18"/>
              </w:rPr>
              <w:t>0 58</w:t>
            </w:r>
            <w:r w:rsidR="00B21051">
              <w:rPr>
                <w:rFonts w:ascii="Gill Sans Nova Light" w:hAnsi="Gill Sans Nova Light"/>
                <w:color w:val="1D1D1B"/>
                <w:szCs w:val="18"/>
              </w:rPr>
              <w:t>0</w:t>
            </w:r>
            <w:r>
              <w:rPr>
                <w:rFonts w:ascii="Gill Sans Nova Light" w:hAnsi="Gill Sans Nova Light"/>
                <w:color w:val="1D1D1B"/>
                <w:szCs w:val="18"/>
              </w:rPr>
              <w:t xml:space="preserve"> </w:t>
            </w:r>
            <w:r w:rsidR="00CD0D14">
              <w:rPr>
                <w:rFonts w:ascii="Gill Sans Nova Light" w:hAnsi="Gill Sans Nova Light"/>
                <w:color w:val="1D1D1B"/>
                <w:szCs w:val="18"/>
              </w:rPr>
              <w:t>kr</w:t>
            </w:r>
          </w:p>
        </w:tc>
      </w:tr>
      <w:tr w:rsidR="00DA39B7" w:rsidRPr="00242529" w14:paraId="74A90C60" w14:textId="77777777" w:rsidTr="00BB784A">
        <w:trPr>
          <w:trHeight w:val="340"/>
        </w:trPr>
        <w:tc>
          <w:tcPr>
            <w:tcW w:w="2268" w:type="dxa"/>
            <w:vAlign w:val="center"/>
          </w:tcPr>
          <w:p w14:paraId="5A919E16" w14:textId="1F8FE3F7" w:rsidR="00DA39B7" w:rsidRPr="00BB784A" w:rsidRDefault="00DA39B7" w:rsidP="00BB784A">
            <w:r w:rsidRPr="00242529">
              <w:t>Årliga kostnadseffekter *</w:t>
            </w:r>
          </w:p>
        </w:tc>
        <w:tc>
          <w:tcPr>
            <w:tcW w:w="2552" w:type="dxa"/>
            <w:vAlign w:val="center"/>
          </w:tcPr>
          <w:p w14:paraId="1F6AA9CE" w14:textId="5E34CE90" w:rsidR="00DA39B7" w:rsidRPr="00242529" w:rsidRDefault="00BB784A" w:rsidP="00BB784A">
            <w:r>
              <w:t>1,</w:t>
            </w:r>
            <w:r w:rsidR="00C75A06">
              <w:t>5</w:t>
            </w:r>
            <w:r>
              <w:t xml:space="preserve"> </w:t>
            </w:r>
            <w:r w:rsidR="00F76B9F" w:rsidRPr="00242529">
              <w:t>%</w:t>
            </w:r>
          </w:p>
        </w:tc>
        <w:tc>
          <w:tcPr>
            <w:tcW w:w="2551" w:type="dxa"/>
            <w:vAlign w:val="center"/>
          </w:tcPr>
          <w:p w14:paraId="5A010852" w14:textId="6B916605" w:rsidR="00DA39B7" w:rsidRPr="00242529" w:rsidRDefault="00BB784A" w:rsidP="00BB784A">
            <w:r>
              <w:t>1,</w:t>
            </w:r>
            <w:r w:rsidR="00C75A06">
              <w:t>5</w:t>
            </w:r>
            <w:r>
              <w:t xml:space="preserve"> </w:t>
            </w:r>
            <w:r w:rsidR="00F76B9F" w:rsidRPr="00242529">
              <w:t>%</w:t>
            </w:r>
          </w:p>
        </w:tc>
      </w:tr>
    </w:tbl>
    <w:p w14:paraId="1BAC059F" w14:textId="3C8B8173" w:rsidR="00647776" w:rsidRPr="00242529" w:rsidRDefault="00DA39B7" w:rsidP="00242529">
      <w:pPr>
        <w:spacing w:before="120"/>
        <w:sectPr w:rsidR="00647776" w:rsidRPr="00242529" w:rsidSect="00647776">
          <w:type w:val="continuous"/>
          <w:pgSz w:w="11906" w:h="16838" w:code="9"/>
          <w:pgMar w:top="1134" w:right="851" w:bottom="1134" w:left="851" w:header="567" w:footer="567" w:gutter="0"/>
          <w:cols w:space="227"/>
          <w:docGrid w:linePitch="360"/>
        </w:sectPr>
      </w:pPr>
      <w:r w:rsidRPr="00242529">
        <w:t xml:space="preserve">(*) Detta illustrerar hur kostnader minskar din avkastning varje år under innehavstiden. Det visar till exempel att om du löser in vid den rekommenderade innehavstiden beräknas din genomsnittliga avkastning per år bli </w:t>
      </w:r>
      <w:r w:rsidR="00C75A06">
        <w:t>10,2</w:t>
      </w:r>
      <w:r w:rsidR="00A31D93">
        <w:t xml:space="preserve"> </w:t>
      </w:r>
      <w:r w:rsidRPr="00242529">
        <w:t xml:space="preserve">% före kostnader och </w:t>
      </w:r>
      <w:r w:rsidR="00C75A06">
        <w:t>8,7</w:t>
      </w:r>
      <w:r w:rsidR="00A31D93">
        <w:t xml:space="preserve"> </w:t>
      </w:r>
      <w:r w:rsidRPr="00242529">
        <w:t>% efter kostnader.</w:t>
      </w:r>
      <w:r w:rsidR="00242529" w:rsidRPr="00242529">
        <w:t xml:space="preserve"> Som ersättning för sina tjänster kan personen som säljer produkten till dig komma att erhålla en del av de kostnader som du betalar till oss. Du kommer att få information om beloppet.</w:t>
      </w:r>
    </w:p>
    <w:p w14:paraId="38968651" w14:textId="20F55500" w:rsidR="00F76B9F" w:rsidRPr="00242529" w:rsidRDefault="00F76B9F">
      <w:r w:rsidRPr="00242529">
        <w:br w:type="page"/>
      </w:r>
    </w:p>
    <w:p w14:paraId="7ECAB272" w14:textId="370DB7F1" w:rsidR="00647776" w:rsidRPr="00242529" w:rsidRDefault="00F76B9F" w:rsidP="00647776">
      <w:pPr>
        <w:rPr>
          <w:b/>
          <w:bCs/>
        </w:rPr>
      </w:pPr>
      <w:r w:rsidRPr="00242529">
        <w:rPr>
          <w:b/>
          <w:bCs/>
        </w:rPr>
        <w:lastRenderedPageBreak/>
        <w:t xml:space="preserve">Kostnadssammansättning (beloppen i SEK är baserade på en investering på 100 000 </w:t>
      </w:r>
      <w:r w:rsidR="00CD0D14">
        <w:rPr>
          <w:b/>
          <w:bCs/>
        </w:rPr>
        <w:t>kr</w:t>
      </w:r>
      <w:r w:rsidRPr="00242529">
        <w:rPr>
          <w:b/>
          <w:bCs/>
        </w:rPr>
        <w:t>)</w:t>
      </w:r>
    </w:p>
    <w:tbl>
      <w:tblPr>
        <w:tblStyle w:val="TableGrid"/>
        <w:tblW w:w="0" w:type="auto"/>
        <w:tblBorders>
          <w:top w:val="single" w:sz="2" w:space="0" w:color="17365D" w:themeColor="accent1"/>
          <w:left w:val="single" w:sz="2" w:space="0" w:color="17365D" w:themeColor="accent1"/>
          <w:bottom w:val="single" w:sz="2" w:space="0" w:color="17365D" w:themeColor="accent1"/>
          <w:right w:val="single" w:sz="2" w:space="0" w:color="17365D" w:themeColor="accent1"/>
          <w:insideH w:val="single" w:sz="2" w:space="0" w:color="17365D" w:themeColor="accent1"/>
          <w:insideV w:val="single" w:sz="2" w:space="0" w:color="17365D" w:themeColor="accent1"/>
        </w:tblBorders>
        <w:tblLook w:val="04A0" w:firstRow="1" w:lastRow="0" w:firstColumn="1" w:lastColumn="0" w:noHBand="0" w:noVBand="1"/>
      </w:tblPr>
      <w:tblGrid>
        <w:gridCol w:w="2127"/>
        <w:gridCol w:w="4669"/>
        <w:gridCol w:w="3398"/>
      </w:tblGrid>
      <w:tr w:rsidR="00F76B9F" w:rsidRPr="00242529" w14:paraId="6726444F" w14:textId="77777777" w:rsidTr="002B26CD">
        <w:tc>
          <w:tcPr>
            <w:tcW w:w="6796" w:type="dxa"/>
            <w:gridSpan w:val="2"/>
            <w:shd w:val="clear" w:color="auto" w:fill="17365D" w:themeFill="accent1"/>
          </w:tcPr>
          <w:p w14:paraId="2DE7FE2A" w14:textId="77777777" w:rsidR="00F76B9F" w:rsidRPr="00161C04" w:rsidRDefault="00F76B9F" w:rsidP="00647776">
            <w:pPr>
              <w:rPr>
                <w:b/>
                <w:bCs/>
              </w:rPr>
            </w:pPr>
            <w:r w:rsidRPr="00161C04">
              <w:rPr>
                <w:b/>
                <w:bCs/>
              </w:rPr>
              <w:t>Engångskostnader vid teckning eller inlösen</w:t>
            </w:r>
          </w:p>
          <w:p w14:paraId="51E312E7" w14:textId="7F4FA7DE" w:rsidR="00F76B9F" w:rsidRPr="00161C04" w:rsidRDefault="00F76B9F" w:rsidP="00647776">
            <w:pPr>
              <w:rPr>
                <w:b/>
                <w:bCs/>
                <w:sz w:val="6"/>
                <w:szCs w:val="6"/>
              </w:rPr>
            </w:pPr>
          </w:p>
        </w:tc>
        <w:tc>
          <w:tcPr>
            <w:tcW w:w="3398" w:type="dxa"/>
            <w:shd w:val="clear" w:color="auto" w:fill="17365D" w:themeFill="accent1"/>
          </w:tcPr>
          <w:p w14:paraId="17692518" w14:textId="77777777" w:rsidR="00F76B9F" w:rsidRDefault="00F76B9F" w:rsidP="00647776">
            <w:pPr>
              <w:rPr>
                <w:b/>
                <w:bCs/>
              </w:rPr>
            </w:pPr>
            <w:r w:rsidRPr="00161C04">
              <w:rPr>
                <w:b/>
                <w:bCs/>
              </w:rPr>
              <w:t>Om du löser in efter 1 år</w:t>
            </w:r>
          </w:p>
          <w:p w14:paraId="0F591278" w14:textId="659EC7F0" w:rsidR="00161C04" w:rsidRPr="00161C04" w:rsidRDefault="00161C04" w:rsidP="00647776">
            <w:pPr>
              <w:rPr>
                <w:b/>
                <w:bCs/>
                <w:sz w:val="6"/>
                <w:szCs w:val="6"/>
              </w:rPr>
            </w:pPr>
          </w:p>
        </w:tc>
      </w:tr>
      <w:tr w:rsidR="00F76B9F" w:rsidRPr="00242529" w14:paraId="74FD55BD" w14:textId="77777777" w:rsidTr="002B26CD">
        <w:tc>
          <w:tcPr>
            <w:tcW w:w="2127" w:type="dxa"/>
          </w:tcPr>
          <w:p w14:paraId="421765D0" w14:textId="005AF18D" w:rsidR="00F76B9F" w:rsidRPr="00242529" w:rsidRDefault="00F76B9F" w:rsidP="00647776">
            <w:r w:rsidRPr="00242529">
              <w:t>Teckningskostnader</w:t>
            </w:r>
          </w:p>
        </w:tc>
        <w:tc>
          <w:tcPr>
            <w:tcW w:w="4669" w:type="dxa"/>
          </w:tcPr>
          <w:p w14:paraId="0C4F7BA1" w14:textId="77777777" w:rsidR="00F76B9F" w:rsidRPr="00242529" w:rsidRDefault="00F76B9F" w:rsidP="00647776">
            <w:r w:rsidRPr="00242529">
              <w:t>Vi tar inte ut någon teckningsavgift, men personen som säljer produkten till dig kan komma göra det.</w:t>
            </w:r>
          </w:p>
          <w:p w14:paraId="16A9B19C" w14:textId="6A59A658" w:rsidR="00F76B9F" w:rsidRPr="00242529" w:rsidRDefault="00F76B9F" w:rsidP="00647776">
            <w:pPr>
              <w:rPr>
                <w:sz w:val="6"/>
                <w:szCs w:val="6"/>
              </w:rPr>
            </w:pPr>
          </w:p>
        </w:tc>
        <w:tc>
          <w:tcPr>
            <w:tcW w:w="3398" w:type="dxa"/>
          </w:tcPr>
          <w:p w14:paraId="5BA89CC6" w14:textId="3B74BA14" w:rsidR="00A04900" w:rsidRPr="00A04900" w:rsidRDefault="00F76B9F" w:rsidP="00A04900">
            <w:pPr>
              <w:rPr>
                <w:rFonts w:ascii="Gill Sans Nova Light" w:hAnsi="Gill Sans Nova Light"/>
                <w:color w:val="1D1D1B"/>
                <w:szCs w:val="18"/>
              </w:rPr>
            </w:pPr>
            <w:r w:rsidRPr="00242529">
              <w:t xml:space="preserve">0 </w:t>
            </w:r>
            <w:r w:rsidR="00CD0D14">
              <w:rPr>
                <w:rFonts w:ascii="Gill Sans Nova Light" w:hAnsi="Gill Sans Nova Light"/>
                <w:color w:val="1D1D1B"/>
                <w:szCs w:val="18"/>
              </w:rPr>
              <w:t>kr</w:t>
            </w:r>
          </w:p>
          <w:p w14:paraId="070F675F" w14:textId="6E9341F3" w:rsidR="00F76B9F" w:rsidRPr="00242529" w:rsidRDefault="00F76B9F" w:rsidP="00647776"/>
        </w:tc>
      </w:tr>
      <w:tr w:rsidR="00F76B9F" w:rsidRPr="00242529" w14:paraId="58EC7E6B" w14:textId="77777777" w:rsidTr="002B26CD">
        <w:tc>
          <w:tcPr>
            <w:tcW w:w="2127" w:type="dxa"/>
          </w:tcPr>
          <w:p w14:paraId="35CF36A3" w14:textId="127F861C" w:rsidR="00F76B9F" w:rsidRPr="00242529" w:rsidRDefault="00F76B9F" w:rsidP="00647776">
            <w:r w:rsidRPr="00242529">
              <w:t>Inlösenkostnader</w:t>
            </w:r>
          </w:p>
        </w:tc>
        <w:tc>
          <w:tcPr>
            <w:tcW w:w="4669" w:type="dxa"/>
          </w:tcPr>
          <w:p w14:paraId="6086C93A" w14:textId="58484894" w:rsidR="00F76B9F" w:rsidRPr="00242529" w:rsidRDefault="00F76B9F" w:rsidP="00647776">
            <w:r w:rsidRPr="00242529">
              <w:t xml:space="preserve">Vi tar inte ut någon inlösenavgift för denna produkt men personen som </w:t>
            </w:r>
            <w:r w:rsidR="003E086E" w:rsidRPr="00242529">
              <w:t>säljer</w:t>
            </w:r>
            <w:r w:rsidRPr="00242529">
              <w:t xml:space="preserve"> produkten till dig kan komma göra det.</w:t>
            </w:r>
          </w:p>
          <w:p w14:paraId="696FD22B" w14:textId="4CEDF96E" w:rsidR="00F76B9F" w:rsidRPr="00242529" w:rsidRDefault="00F76B9F" w:rsidP="00647776">
            <w:pPr>
              <w:rPr>
                <w:sz w:val="6"/>
                <w:szCs w:val="6"/>
              </w:rPr>
            </w:pPr>
          </w:p>
        </w:tc>
        <w:tc>
          <w:tcPr>
            <w:tcW w:w="3398" w:type="dxa"/>
          </w:tcPr>
          <w:p w14:paraId="07B787FE" w14:textId="34A158D6" w:rsidR="00A04900" w:rsidRPr="00A04900" w:rsidRDefault="00F76B9F" w:rsidP="00A04900">
            <w:pPr>
              <w:rPr>
                <w:rFonts w:ascii="Gill Sans Nova Light" w:hAnsi="Gill Sans Nova Light"/>
                <w:color w:val="1D1D1B"/>
                <w:szCs w:val="18"/>
              </w:rPr>
            </w:pPr>
            <w:r w:rsidRPr="00242529">
              <w:t xml:space="preserve">0 </w:t>
            </w:r>
            <w:r w:rsidR="00CD0D14">
              <w:rPr>
                <w:rFonts w:ascii="Gill Sans Nova Light" w:hAnsi="Gill Sans Nova Light"/>
                <w:color w:val="1D1D1B"/>
                <w:szCs w:val="18"/>
              </w:rPr>
              <w:t>kr</w:t>
            </w:r>
          </w:p>
          <w:p w14:paraId="01DEBC5A" w14:textId="26E8BF04" w:rsidR="00F76B9F" w:rsidRPr="00242529" w:rsidRDefault="00F76B9F" w:rsidP="00647776"/>
        </w:tc>
      </w:tr>
      <w:tr w:rsidR="00F76B9F" w:rsidRPr="00242529" w14:paraId="20259C20" w14:textId="77777777" w:rsidTr="002B26CD">
        <w:tc>
          <w:tcPr>
            <w:tcW w:w="6796" w:type="dxa"/>
            <w:gridSpan w:val="2"/>
            <w:shd w:val="clear" w:color="auto" w:fill="17365D" w:themeFill="accent1"/>
          </w:tcPr>
          <w:p w14:paraId="1CA82A53" w14:textId="37C0DA91" w:rsidR="00F76B9F" w:rsidRDefault="00F76B9F" w:rsidP="00647776">
            <w:pPr>
              <w:rPr>
                <w:b/>
                <w:bCs/>
              </w:rPr>
            </w:pPr>
            <w:r w:rsidRPr="00161C04">
              <w:rPr>
                <w:b/>
                <w:bCs/>
              </w:rPr>
              <w:t>Löpande kostnader</w:t>
            </w:r>
          </w:p>
          <w:p w14:paraId="2C430725" w14:textId="380E6E3F" w:rsidR="00F76B9F" w:rsidRPr="00242529" w:rsidRDefault="00F76B9F" w:rsidP="00647776">
            <w:pPr>
              <w:rPr>
                <w:sz w:val="6"/>
                <w:szCs w:val="6"/>
              </w:rPr>
            </w:pPr>
          </w:p>
        </w:tc>
        <w:tc>
          <w:tcPr>
            <w:tcW w:w="3398" w:type="dxa"/>
            <w:shd w:val="clear" w:color="auto" w:fill="17365D" w:themeFill="accent1"/>
          </w:tcPr>
          <w:p w14:paraId="2275E6D7" w14:textId="77777777" w:rsidR="00F76B9F" w:rsidRPr="00242529" w:rsidRDefault="00F76B9F" w:rsidP="00647776"/>
        </w:tc>
      </w:tr>
      <w:tr w:rsidR="00F76B9F" w:rsidRPr="00242529" w14:paraId="579B5986" w14:textId="77777777" w:rsidTr="002B26CD">
        <w:tc>
          <w:tcPr>
            <w:tcW w:w="2127" w:type="dxa"/>
          </w:tcPr>
          <w:p w14:paraId="5DE33F2E" w14:textId="48CFB0C2" w:rsidR="00F76B9F" w:rsidRPr="00242529" w:rsidRDefault="00F76B9F" w:rsidP="00647776">
            <w:r w:rsidRPr="00242529">
              <w:t>Förvaltningsavgifter eller andra administrations eller driftskostnader</w:t>
            </w:r>
          </w:p>
        </w:tc>
        <w:tc>
          <w:tcPr>
            <w:tcW w:w="4669" w:type="dxa"/>
          </w:tcPr>
          <w:p w14:paraId="71FBB375" w14:textId="33D87EDB" w:rsidR="00F76B9F" w:rsidRPr="00242529" w:rsidRDefault="003E086E" w:rsidP="00647776">
            <w:r>
              <w:t>1,</w:t>
            </w:r>
            <w:r w:rsidR="00C75A06">
              <w:t>4</w:t>
            </w:r>
            <w:r>
              <w:t xml:space="preserve"> </w:t>
            </w:r>
            <w:r w:rsidR="00F76B9F" w:rsidRPr="00242529">
              <w:t>% av värdet på din investering per år. Detta är en uppskattning baserad på faktiska kostnader under det senaste året.</w:t>
            </w:r>
          </w:p>
        </w:tc>
        <w:tc>
          <w:tcPr>
            <w:tcW w:w="3398" w:type="dxa"/>
          </w:tcPr>
          <w:p w14:paraId="2DE57AC5" w14:textId="6ADB69D7" w:rsidR="00A04900" w:rsidRPr="00A04900" w:rsidRDefault="003E086E" w:rsidP="00A04900">
            <w:pPr>
              <w:rPr>
                <w:rFonts w:ascii="Gill Sans Nova Light" w:hAnsi="Gill Sans Nova Light"/>
                <w:color w:val="1D1D1B"/>
                <w:szCs w:val="18"/>
              </w:rPr>
            </w:pPr>
            <w:r>
              <w:rPr>
                <w:rFonts w:ascii="Gill Sans Nova Light" w:hAnsi="Gill Sans Nova Light"/>
                <w:color w:val="1D1D1B"/>
                <w:szCs w:val="18"/>
              </w:rPr>
              <w:t>1 </w:t>
            </w:r>
            <w:r w:rsidR="00C75A06">
              <w:rPr>
                <w:rFonts w:ascii="Gill Sans Nova Light" w:hAnsi="Gill Sans Nova Light"/>
                <w:color w:val="1D1D1B"/>
                <w:szCs w:val="18"/>
              </w:rPr>
              <w:t>37</w:t>
            </w:r>
            <w:r>
              <w:rPr>
                <w:rFonts w:ascii="Gill Sans Nova Light" w:hAnsi="Gill Sans Nova Light"/>
                <w:color w:val="1D1D1B"/>
                <w:szCs w:val="18"/>
              </w:rPr>
              <w:t xml:space="preserve">0 </w:t>
            </w:r>
            <w:r w:rsidR="00CD0D14">
              <w:rPr>
                <w:rFonts w:ascii="Gill Sans Nova Light" w:hAnsi="Gill Sans Nova Light"/>
                <w:color w:val="1D1D1B"/>
                <w:szCs w:val="18"/>
              </w:rPr>
              <w:t>kr</w:t>
            </w:r>
          </w:p>
          <w:p w14:paraId="602070FC" w14:textId="4EBFC496" w:rsidR="00F76B9F" w:rsidRPr="00242529" w:rsidRDefault="00F76B9F" w:rsidP="00647776"/>
        </w:tc>
      </w:tr>
      <w:tr w:rsidR="00F76B9F" w:rsidRPr="00242529" w14:paraId="79EC7B2B" w14:textId="77777777" w:rsidTr="002B26CD">
        <w:tc>
          <w:tcPr>
            <w:tcW w:w="2127" w:type="dxa"/>
          </w:tcPr>
          <w:p w14:paraId="7DC64BAF" w14:textId="780E68C5" w:rsidR="00F76B9F" w:rsidRPr="00242529" w:rsidRDefault="00F76B9F" w:rsidP="00647776">
            <w:r w:rsidRPr="00242529">
              <w:t>Transaktionskostnader</w:t>
            </w:r>
          </w:p>
        </w:tc>
        <w:tc>
          <w:tcPr>
            <w:tcW w:w="4669" w:type="dxa"/>
          </w:tcPr>
          <w:p w14:paraId="583E5EA7" w14:textId="302C8706" w:rsidR="00F76B9F" w:rsidRPr="00242529" w:rsidRDefault="003E086E" w:rsidP="00647776">
            <w:r>
              <w:t xml:space="preserve">0,1 </w:t>
            </w:r>
            <w:r w:rsidR="00F76B9F" w:rsidRPr="00242529">
              <w:t>% av värdet på din investering per år. Detta är</w:t>
            </w:r>
            <w:r w:rsidR="00A31D93">
              <w:t xml:space="preserve"> </w:t>
            </w:r>
            <w:r w:rsidR="00F76B9F" w:rsidRPr="00242529">
              <w:t>en uppskattning av kostnaderna som uppstår när vi köper och säljer produktens underliggande investeringar. Det faktiska beloppet kommer att variera beroende på hur mycket vi köper och säljer.</w:t>
            </w:r>
          </w:p>
          <w:p w14:paraId="3B5268E4" w14:textId="2C085F57" w:rsidR="00F76B9F" w:rsidRPr="00242529" w:rsidRDefault="00F76B9F" w:rsidP="00647776">
            <w:pPr>
              <w:rPr>
                <w:sz w:val="6"/>
                <w:szCs w:val="6"/>
              </w:rPr>
            </w:pPr>
          </w:p>
        </w:tc>
        <w:tc>
          <w:tcPr>
            <w:tcW w:w="3398" w:type="dxa"/>
          </w:tcPr>
          <w:p w14:paraId="50E8D366" w14:textId="661165F3" w:rsidR="00CD0D14" w:rsidRPr="00A04900" w:rsidRDefault="004A3C18" w:rsidP="00CD0D14">
            <w:pPr>
              <w:rPr>
                <w:rFonts w:ascii="Gill Sans Nova Light" w:hAnsi="Gill Sans Nova Light"/>
                <w:color w:val="1D1D1B"/>
                <w:szCs w:val="18"/>
              </w:rPr>
            </w:pPr>
            <w:r>
              <w:rPr>
                <w:rFonts w:ascii="Gill Sans Nova Light" w:hAnsi="Gill Sans Nova Light"/>
                <w:color w:val="1D1D1B"/>
                <w:szCs w:val="18"/>
              </w:rPr>
              <w:t>1</w:t>
            </w:r>
            <w:r w:rsidR="00C75A06">
              <w:rPr>
                <w:rFonts w:ascii="Gill Sans Nova Light" w:hAnsi="Gill Sans Nova Light"/>
                <w:color w:val="1D1D1B"/>
                <w:szCs w:val="18"/>
              </w:rPr>
              <w:t>1</w:t>
            </w:r>
            <w:r w:rsidR="003E086E">
              <w:rPr>
                <w:rFonts w:ascii="Gill Sans Nova Light" w:hAnsi="Gill Sans Nova Light"/>
                <w:color w:val="1D1D1B"/>
                <w:szCs w:val="18"/>
              </w:rPr>
              <w:t xml:space="preserve">0 </w:t>
            </w:r>
            <w:r w:rsidR="00CD0D14">
              <w:rPr>
                <w:rFonts w:ascii="Gill Sans Nova Light" w:hAnsi="Gill Sans Nova Light"/>
                <w:color w:val="1D1D1B"/>
                <w:szCs w:val="18"/>
              </w:rPr>
              <w:t>kr</w:t>
            </w:r>
          </w:p>
          <w:p w14:paraId="13459890" w14:textId="0F02D00B" w:rsidR="00A04900" w:rsidRPr="00A04900" w:rsidRDefault="00A04900" w:rsidP="00A04900">
            <w:pPr>
              <w:rPr>
                <w:rFonts w:ascii="Gill Sans Nova Light" w:hAnsi="Gill Sans Nova Light"/>
                <w:color w:val="1D1D1B"/>
                <w:szCs w:val="18"/>
              </w:rPr>
            </w:pPr>
          </w:p>
          <w:p w14:paraId="638ED774" w14:textId="3D557A67" w:rsidR="00F76B9F" w:rsidRPr="00242529" w:rsidRDefault="00F76B9F" w:rsidP="00647776"/>
        </w:tc>
      </w:tr>
      <w:tr w:rsidR="00F76B9F" w:rsidRPr="00242529" w14:paraId="15E31E1F" w14:textId="77777777" w:rsidTr="002B26CD">
        <w:tc>
          <w:tcPr>
            <w:tcW w:w="6796" w:type="dxa"/>
            <w:gridSpan w:val="2"/>
            <w:shd w:val="clear" w:color="auto" w:fill="17365D" w:themeFill="accent1"/>
          </w:tcPr>
          <w:p w14:paraId="2E41039B" w14:textId="77777777" w:rsidR="00F76B9F" w:rsidRPr="00161C04" w:rsidRDefault="00F76B9F" w:rsidP="00647776">
            <w:pPr>
              <w:rPr>
                <w:b/>
                <w:bCs/>
              </w:rPr>
            </w:pPr>
            <w:r w:rsidRPr="00161C04">
              <w:rPr>
                <w:b/>
                <w:bCs/>
              </w:rPr>
              <w:t>Extra kostnader som tas ut under särskilda omständigheter</w:t>
            </w:r>
          </w:p>
          <w:p w14:paraId="67BAF036" w14:textId="7A6C77E8" w:rsidR="00F76B9F" w:rsidRPr="00242529" w:rsidRDefault="00F76B9F" w:rsidP="00647776">
            <w:pPr>
              <w:rPr>
                <w:sz w:val="6"/>
                <w:szCs w:val="6"/>
              </w:rPr>
            </w:pPr>
          </w:p>
        </w:tc>
        <w:tc>
          <w:tcPr>
            <w:tcW w:w="3398" w:type="dxa"/>
            <w:shd w:val="clear" w:color="auto" w:fill="17365D" w:themeFill="accent1"/>
          </w:tcPr>
          <w:p w14:paraId="099E3850" w14:textId="77777777" w:rsidR="00F76B9F" w:rsidRPr="00242529" w:rsidRDefault="00F76B9F" w:rsidP="00647776"/>
        </w:tc>
      </w:tr>
      <w:tr w:rsidR="00F76B9F" w:rsidRPr="00242529" w14:paraId="5BEE5A46" w14:textId="77777777" w:rsidTr="002B26CD">
        <w:tc>
          <w:tcPr>
            <w:tcW w:w="2127" w:type="dxa"/>
          </w:tcPr>
          <w:p w14:paraId="4C693143" w14:textId="3F548D83" w:rsidR="00F76B9F" w:rsidRPr="00242529" w:rsidRDefault="00F76B9F" w:rsidP="00647776">
            <w:r w:rsidRPr="00242529">
              <w:t>Resultatrelaterade avgifter</w:t>
            </w:r>
          </w:p>
        </w:tc>
        <w:tc>
          <w:tcPr>
            <w:tcW w:w="4669" w:type="dxa"/>
          </w:tcPr>
          <w:p w14:paraId="78E79369" w14:textId="63872E92" w:rsidR="00F76B9F" w:rsidRPr="00591191" w:rsidRDefault="00FD3689" w:rsidP="00FD3689">
            <w:r>
              <w:t>Effekten av resultatbaserade avgifter utifrån 0 % årlig avkastning.</w:t>
            </w:r>
            <w:r w:rsidR="00AF1BF5">
              <w:t xml:space="preserve"> </w:t>
            </w:r>
            <w:proofErr w:type="spellStart"/>
            <w:r w:rsidR="007A1A66">
              <w:t>Andelsklassens</w:t>
            </w:r>
            <w:proofErr w:type="spellEnd"/>
            <w:r w:rsidR="00AF1BF5" w:rsidRPr="0054507E">
              <w:t xml:space="preserve"> prestationsbaserade avgift motsvarar </w:t>
            </w:r>
            <w:r w:rsidR="00AF1BF5">
              <w:t xml:space="preserve">10 </w:t>
            </w:r>
            <w:r w:rsidR="00AF1BF5" w:rsidRPr="0054507E">
              <w:t>% av den del av totalavkastningen i fonden som överstiger avkastnings-tröskeln (</w:t>
            </w:r>
            <w:r w:rsidR="00AF1BF5">
              <w:t>SIX Return</w:t>
            </w:r>
            <w:r w:rsidR="00AF1BF5" w:rsidRPr="0054507E">
              <w:t xml:space="preserve"> Index).</w:t>
            </w:r>
            <w:r w:rsidR="00591191">
              <w:t xml:space="preserve"> </w:t>
            </w:r>
            <w:r w:rsidR="00591191" w:rsidRPr="0070152E">
              <w:rPr>
                <w:color w:val="000000"/>
              </w:rPr>
              <w:t>Om indexet utvecklas negativt och även fondens andelskurs backar – men med mindre relativ nedgång än indexminskningen – kan rörligt arvode komma att tas ut trots att andelsvärdet minskat</w:t>
            </w:r>
            <w:r w:rsidR="00591191">
              <w:rPr>
                <w:color w:val="000000"/>
              </w:rPr>
              <w:t>.</w:t>
            </w:r>
          </w:p>
          <w:p w14:paraId="7A93C029" w14:textId="0AE4719F" w:rsidR="00F76B9F" w:rsidRPr="00242529" w:rsidRDefault="00F76B9F" w:rsidP="00647776">
            <w:pPr>
              <w:rPr>
                <w:sz w:val="6"/>
                <w:szCs w:val="6"/>
              </w:rPr>
            </w:pPr>
          </w:p>
        </w:tc>
        <w:tc>
          <w:tcPr>
            <w:tcW w:w="3398" w:type="dxa"/>
          </w:tcPr>
          <w:p w14:paraId="113FE985" w14:textId="4ACAD558" w:rsidR="00F76B9F" w:rsidRPr="000505A1" w:rsidRDefault="000505A1" w:rsidP="00647776">
            <w:pPr>
              <w:rPr>
                <w:rFonts w:ascii="Gill Sans Nova Light" w:hAnsi="Gill Sans Nova Light"/>
                <w:color w:val="1D1D1B"/>
                <w:szCs w:val="18"/>
              </w:rPr>
            </w:pPr>
            <w:r w:rsidRPr="00242529">
              <w:t xml:space="preserve">0 </w:t>
            </w:r>
            <w:r>
              <w:rPr>
                <w:rFonts w:ascii="Gill Sans Nova Light" w:hAnsi="Gill Sans Nova Light"/>
                <w:color w:val="1D1D1B"/>
                <w:szCs w:val="18"/>
              </w:rPr>
              <w:t>kr</w:t>
            </w:r>
          </w:p>
        </w:tc>
      </w:tr>
    </w:tbl>
    <w:p w14:paraId="5E2630F6" w14:textId="4A63E9D9" w:rsidR="00F76B9F" w:rsidRPr="00242529" w:rsidRDefault="00F76B9F" w:rsidP="00F76B9F">
      <w:pPr>
        <w:pStyle w:val="Heading4"/>
      </w:pPr>
      <w:r w:rsidRPr="00242529">
        <w:t>Hur länge bör jag behålla investeringsprodukten och kan jag ta ut pengar i förtid?</w:t>
      </w:r>
    </w:p>
    <w:p w14:paraId="4A3B233B" w14:textId="26C1B508" w:rsidR="00F76B9F" w:rsidRPr="00242529" w:rsidRDefault="00F76B9F" w:rsidP="00F76B9F">
      <w:r w:rsidRPr="00813607">
        <w:rPr>
          <w:b/>
          <w:bCs/>
        </w:rPr>
        <w:t>Rekommenderad innehavstid: 5 år</w:t>
      </w:r>
      <w:r w:rsidRPr="00242529">
        <w:br/>
        <w:t>Fonden har inget krav på minsta investeringsperiod men eftersom den placerar i aktier är den lämplig för en medellång till lång investeringshorisont. Du bör vara beredd att</w:t>
      </w:r>
      <w:r w:rsidR="003E086E">
        <w:t xml:space="preserve"> </w:t>
      </w:r>
      <w:r w:rsidRPr="00242529">
        <w:t>spara i fonden under åtminstone 5 år. Du har normalt möjlighet att sälja dina fondandelar</w:t>
      </w:r>
      <w:r w:rsidR="00242529" w:rsidRPr="00242529">
        <w:t xml:space="preserve"> alla bankdagar utan någon extra avgift.</w:t>
      </w:r>
    </w:p>
    <w:p w14:paraId="2009A1A8" w14:textId="1E1CF355" w:rsidR="00242529" w:rsidRPr="00242529" w:rsidRDefault="00242529" w:rsidP="00242529">
      <w:pPr>
        <w:pStyle w:val="Heading4"/>
      </w:pPr>
      <w:r w:rsidRPr="00242529">
        <w:t>Hur kan jag klaga?</w:t>
      </w:r>
    </w:p>
    <w:p w14:paraId="57AFD0E7" w14:textId="0F3620EA" w:rsidR="00242529" w:rsidRPr="00242529" w:rsidRDefault="00242529" w:rsidP="00242529">
      <w:r w:rsidRPr="00242529">
        <w:t>Önskar du framföra klagomål på fonden kan du vända dig till den som givit dig råd om eller sålt produkten till dig. Du kan också vända dig till fondbolaget (</w:t>
      </w:r>
      <w:hyperlink r:id="rId14" w:history="1">
        <w:r w:rsidR="00CC4E93" w:rsidRPr="002B635F">
          <w:rPr>
            <w:rStyle w:val="Hyperlink"/>
          </w:rPr>
          <w:t>www.cliens.se/information-om-klagomal</w:t>
        </w:r>
      </w:hyperlink>
      <w:r w:rsidRPr="00242529">
        <w:t>) eller skriva till Cliens Kapitalförvaltning AB, Engelbrektsplan 2, 114 34 Stockholm.</w:t>
      </w:r>
    </w:p>
    <w:p w14:paraId="67650CD2" w14:textId="16C81419" w:rsidR="00242529" w:rsidRPr="00242529" w:rsidRDefault="00242529" w:rsidP="00242529">
      <w:pPr>
        <w:pStyle w:val="Heading4"/>
      </w:pPr>
      <w:r w:rsidRPr="00242529">
        <w:t>Övrig relevant information</w:t>
      </w:r>
    </w:p>
    <w:p w14:paraId="14B7B7DF" w14:textId="7BC01006" w:rsidR="00242529" w:rsidRPr="00242529" w:rsidRDefault="00242529" w:rsidP="00242529">
      <w:r w:rsidRPr="00242529">
        <w:t>Fullständig information om fonden finns i fondens informationsbroschyr som finns att tillgå på fondbolagets hemsida (</w:t>
      </w:r>
      <w:hyperlink r:id="rId15" w:history="1">
        <w:r w:rsidRPr="00242529">
          <w:rPr>
            <w:rStyle w:val="Hyperlink"/>
          </w:rPr>
          <w:t>www.cliens.se/rapporter</w:t>
        </w:r>
      </w:hyperlink>
      <w:r w:rsidRPr="00242529">
        <w:t xml:space="preserve">) tillsammans med </w:t>
      </w:r>
      <w:proofErr w:type="gramStart"/>
      <w:r w:rsidRPr="00242529">
        <w:t>bl.a.</w:t>
      </w:r>
      <w:proofErr w:type="gramEnd"/>
      <w:r w:rsidRPr="00242529">
        <w:t xml:space="preserve"> aktuell version av detta faktablad, fondens årsberättelse och halvårsredogörelse samt information om kostnader för </w:t>
      </w:r>
      <w:r w:rsidR="00CD1EA9">
        <w:t>tidigare</w:t>
      </w:r>
      <w:r w:rsidRPr="00242529">
        <w:t xml:space="preserve"> perioder.</w:t>
      </w:r>
    </w:p>
    <w:p w14:paraId="1020F20C" w14:textId="77777777" w:rsidR="00591191" w:rsidRPr="00BD3A56" w:rsidRDefault="00591191" w:rsidP="00591191">
      <w:r w:rsidRPr="00242529">
        <w:t>Tidigare resultat: Avkastningen för de 10 senaste åren finns att tillgå här:</w:t>
      </w:r>
      <w:r>
        <w:br/>
      </w:r>
      <w:hyperlink r:id="rId16" w:history="1">
        <w:r w:rsidRPr="0084487E">
          <w:rPr>
            <w:rStyle w:val="Hyperlink"/>
          </w:rPr>
          <w:t>https://www.cliens.se/upl/files/190307/tidigare-resultat-cliens-fonder.pdf?t=737483580</w:t>
        </w:r>
      </w:hyperlink>
      <w:r>
        <w:t xml:space="preserve"> </w:t>
      </w:r>
      <w:r w:rsidRPr="00242529">
        <w:br/>
        <w:t>Historiska resultatscenarier: Tidigare publicerade resultatscenarier finns att tillgå här:</w:t>
      </w:r>
      <w:r>
        <w:br/>
      </w:r>
      <w:hyperlink r:id="rId17" w:history="1">
        <w:r w:rsidRPr="0084487E">
          <w:rPr>
            <w:rStyle w:val="Hyperlink"/>
          </w:rPr>
          <w:t>https://www.cliens.se/upl/files/191967/historiska-resultatsscenarier-cliens-fonder.pdf?t=737483580</w:t>
        </w:r>
      </w:hyperlink>
      <w:r>
        <w:t xml:space="preserve"> </w:t>
      </w:r>
    </w:p>
    <w:p w14:paraId="14D216F9" w14:textId="65051C70" w:rsidR="00242529" w:rsidRPr="00591191" w:rsidRDefault="00242529" w:rsidP="00591191"/>
    <w:sectPr w:rsidR="00242529" w:rsidRPr="00591191" w:rsidSect="00F76B9F">
      <w:type w:val="continuous"/>
      <w:pgSz w:w="11906" w:h="16838" w:code="9"/>
      <w:pgMar w:top="1134" w:right="851" w:bottom="1134" w:left="851" w:header="567" w:footer="56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7C1A" w14:textId="77777777" w:rsidR="009C0DF1" w:rsidRDefault="009C0DF1" w:rsidP="00ED6C6F">
      <w:pPr>
        <w:spacing w:after="0"/>
      </w:pPr>
      <w:r>
        <w:separator/>
      </w:r>
    </w:p>
  </w:endnote>
  <w:endnote w:type="continuationSeparator" w:id="0">
    <w:p w14:paraId="2461A144" w14:textId="77777777" w:rsidR="009C0DF1" w:rsidRDefault="009C0DF1" w:rsidP="00ED6C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altName w:val="Calibri"/>
    <w:charset w:val="00"/>
    <w:family w:val="swiss"/>
    <w:pitch w:val="variable"/>
    <w:sig w:usb0="8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utura-Light">
    <w:altName w:val="MV Boli"/>
    <w:panose1 w:val="00000000000000000000"/>
    <w:charset w:val="00"/>
    <w:family w:val="roman"/>
    <w:notTrueType/>
    <w:pitch w:val="default"/>
  </w:font>
  <w:font w:name="Futura-Book">
    <w:altName w:val="Times New Roman"/>
    <w:panose1 w:val="00000000000000000000"/>
    <w:charset w:val="00"/>
    <w:family w:val="roman"/>
    <w:notTrueType/>
    <w:pitch w:val="default"/>
  </w:font>
  <w:font w:name="Futur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8CCD" w14:textId="602BA316" w:rsidR="00EA5354" w:rsidRDefault="00EA5354">
    <w:pPr>
      <w:pStyle w:val="Footer"/>
    </w:pPr>
    <w:r>
      <w:t>www.cliens.se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5F82" w14:textId="6A6A9313" w:rsidR="00AD0F24" w:rsidRDefault="00AD0F24">
    <w:pPr>
      <w:pStyle w:val="Footer"/>
    </w:pPr>
    <w:r>
      <w:t>www.cliens.se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D390" w14:textId="77777777" w:rsidR="009C0DF1" w:rsidRDefault="009C0DF1" w:rsidP="00ED6C6F">
      <w:pPr>
        <w:spacing w:after="0"/>
      </w:pPr>
      <w:r>
        <w:separator/>
      </w:r>
    </w:p>
  </w:footnote>
  <w:footnote w:type="continuationSeparator" w:id="0">
    <w:p w14:paraId="67DD2675" w14:textId="77777777" w:rsidR="009C0DF1" w:rsidRDefault="009C0DF1" w:rsidP="00ED6C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42" w:rightFromText="142" w:bottomFromText="142" w:vertAnchor="page" w:horzAnchor="page" w:tblpXSpec="center" w:tblpY="965"/>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5100"/>
      <w:gridCol w:w="5104"/>
    </w:tblGrid>
    <w:tr w:rsidR="00935A35" w14:paraId="0F7FE816" w14:textId="77777777" w:rsidTr="00BC66A5">
      <w:trPr>
        <w:trHeight w:val="624"/>
      </w:trPr>
      <w:tc>
        <w:tcPr>
          <w:tcW w:w="2499" w:type="pct"/>
          <w:vAlign w:val="bottom"/>
        </w:tcPr>
        <w:p w14:paraId="2D9036A5" w14:textId="4241C08B" w:rsidR="00935A35" w:rsidRPr="00242529" w:rsidRDefault="00242529" w:rsidP="00935A35">
          <w:pPr>
            <w:spacing w:after="120"/>
            <w:rPr>
              <w:rFonts w:asciiTheme="majorHAnsi" w:hAnsiTheme="majorHAnsi"/>
              <w:b/>
              <w:bCs/>
              <w:color w:val="78CDD1" w:themeColor="accent4"/>
              <w:sz w:val="17"/>
              <w:szCs w:val="17"/>
            </w:rPr>
          </w:pPr>
          <w:r w:rsidRPr="00242529">
            <w:rPr>
              <w:rFonts w:asciiTheme="majorHAnsi" w:hAnsiTheme="majorHAnsi"/>
              <w:b/>
              <w:bCs/>
              <w:color w:val="17365D" w:themeColor="accent1"/>
              <w:sz w:val="40"/>
              <w:szCs w:val="40"/>
            </w:rPr>
            <w:t>FAKTABLAD</w:t>
          </w:r>
        </w:p>
      </w:tc>
      <w:tc>
        <w:tcPr>
          <w:tcW w:w="2501" w:type="pct"/>
          <w:vMerge w:val="restart"/>
          <w:vAlign w:val="center"/>
        </w:tcPr>
        <w:p w14:paraId="108D1589" w14:textId="77777777" w:rsidR="00935A35" w:rsidRDefault="00935A35" w:rsidP="00935A35">
          <w:pPr>
            <w:jc w:val="right"/>
          </w:pPr>
          <w:r>
            <w:rPr>
              <w:noProof/>
              <w:lang w:eastAsia="sv-SE"/>
            </w:rPr>
            <w:drawing>
              <wp:inline distT="0" distB="0" distL="0" distR="0" wp14:anchorId="5FF9636E" wp14:editId="7D686A8B">
                <wp:extent cx="1437117" cy="510362"/>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ens-rgb.emf"/>
                        <pic:cNvPicPr/>
                      </pic:nvPicPr>
                      <pic:blipFill>
                        <a:blip r:embed="rId1">
                          <a:extLst>
                            <a:ext uri="{28A0092B-C50C-407E-A947-70E740481C1C}">
                              <a14:useLocalDpi xmlns:a14="http://schemas.microsoft.com/office/drawing/2010/main" val="0"/>
                            </a:ext>
                          </a:extLst>
                        </a:blip>
                        <a:stretch>
                          <a:fillRect/>
                        </a:stretch>
                      </pic:blipFill>
                      <pic:spPr>
                        <a:xfrm>
                          <a:off x="0" y="0"/>
                          <a:ext cx="1540248" cy="546987"/>
                        </a:xfrm>
                        <a:prstGeom prst="rect">
                          <a:avLst/>
                        </a:prstGeom>
                      </pic:spPr>
                    </pic:pic>
                  </a:graphicData>
                </a:graphic>
              </wp:inline>
            </w:drawing>
          </w:r>
        </w:p>
      </w:tc>
    </w:tr>
    <w:tr w:rsidR="00935A35" w14:paraId="0CC440DF" w14:textId="77777777" w:rsidTr="00BC66A5">
      <w:trPr>
        <w:trHeight w:val="397"/>
      </w:trPr>
      <w:tc>
        <w:tcPr>
          <w:tcW w:w="2499" w:type="pct"/>
          <w:vAlign w:val="center"/>
        </w:tcPr>
        <w:p w14:paraId="38F75A20" w14:textId="77777777" w:rsidR="00935A35" w:rsidRPr="003B01B7" w:rsidRDefault="00935A35" w:rsidP="00935A35"/>
      </w:tc>
      <w:tc>
        <w:tcPr>
          <w:tcW w:w="2501" w:type="pct"/>
          <w:vMerge/>
        </w:tcPr>
        <w:p w14:paraId="04495811" w14:textId="77777777" w:rsidR="00935A35" w:rsidRDefault="00935A35" w:rsidP="00935A35"/>
      </w:tc>
    </w:tr>
  </w:tbl>
  <w:p w14:paraId="632DE633" w14:textId="29FB6CF8" w:rsidR="00935A35" w:rsidRDefault="0093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42" w:rightFromText="142" w:bottomFromText="142" w:vertAnchor="page" w:horzAnchor="page" w:tblpXSpec="center" w:tblpY="965"/>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0"/>
      <w:gridCol w:w="5104"/>
    </w:tblGrid>
    <w:tr w:rsidR="00935A35" w14:paraId="20A0B5DD" w14:textId="77777777" w:rsidTr="00925918">
      <w:trPr>
        <w:trHeight w:val="624"/>
      </w:trPr>
      <w:tc>
        <w:tcPr>
          <w:tcW w:w="2499" w:type="pct"/>
        </w:tcPr>
        <w:p w14:paraId="1F09EA01" w14:textId="4E3BFCCF" w:rsidR="00935A35" w:rsidRPr="00AA2BDD" w:rsidRDefault="00BF1EFA" w:rsidP="00935A35">
          <w:pPr>
            <w:rPr>
              <w:rFonts w:asciiTheme="majorHAnsi" w:hAnsiTheme="majorHAnsi"/>
              <w:b/>
              <w:bCs/>
              <w:color w:val="17365D" w:themeColor="accent1"/>
            </w:rPr>
          </w:pPr>
          <w:r>
            <w:rPr>
              <w:rFonts w:asciiTheme="majorHAnsi" w:hAnsiTheme="majorHAnsi"/>
              <w:b/>
              <w:bCs/>
              <w:color w:val="17365D" w:themeColor="accent1"/>
              <w:sz w:val="48"/>
              <w:szCs w:val="48"/>
            </w:rPr>
            <w:t>Faktablad</w:t>
          </w:r>
        </w:p>
      </w:tc>
      <w:tc>
        <w:tcPr>
          <w:tcW w:w="2501" w:type="pct"/>
          <w:vMerge w:val="restart"/>
        </w:tcPr>
        <w:p w14:paraId="5A62F012" w14:textId="77777777" w:rsidR="00935A35" w:rsidRDefault="00935A35" w:rsidP="00935A35">
          <w:pPr>
            <w:jc w:val="right"/>
          </w:pPr>
          <w:r>
            <w:rPr>
              <w:noProof/>
              <w:lang w:eastAsia="sv-SE"/>
            </w:rPr>
            <w:drawing>
              <wp:inline distT="0" distB="0" distL="0" distR="0" wp14:anchorId="034FEFCA" wp14:editId="2CAED9F2">
                <wp:extent cx="1437117" cy="510362"/>
                <wp:effectExtent l="0" t="0" r="0" b="444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ens-rgb.emf"/>
                        <pic:cNvPicPr/>
                      </pic:nvPicPr>
                      <pic:blipFill>
                        <a:blip r:embed="rId1">
                          <a:extLst>
                            <a:ext uri="{28A0092B-C50C-407E-A947-70E740481C1C}">
                              <a14:useLocalDpi xmlns:a14="http://schemas.microsoft.com/office/drawing/2010/main" val="0"/>
                            </a:ext>
                          </a:extLst>
                        </a:blip>
                        <a:stretch>
                          <a:fillRect/>
                        </a:stretch>
                      </pic:blipFill>
                      <pic:spPr>
                        <a:xfrm>
                          <a:off x="0" y="0"/>
                          <a:ext cx="1540248" cy="546987"/>
                        </a:xfrm>
                        <a:prstGeom prst="rect">
                          <a:avLst/>
                        </a:prstGeom>
                      </pic:spPr>
                    </pic:pic>
                  </a:graphicData>
                </a:graphic>
              </wp:inline>
            </w:drawing>
          </w:r>
        </w:p>
      </w:tc>
    </w:tr>
    <w:tr w:rsidR="00935A35" w14:paraId="3D806FDB" w14:textId="77777777" w:rsidTr="00925918">
      <w:trPr>
        <w:trHeight w:val="397"/>
      </w:trPr>
      <w:tc>
        <w:tcPr>
          <w:tcW w:w="2499" w:type="pct"/>
          <w:vAlign w:val="center"/>
        </w:tcPr>
        <w:p w14:paraId="506D9229" w14:textId="6C5D0CD1" w:rsidR="00935A35" w:rsidRPr="00AA2BDD" w:rsidRDefault="00935A35" w:rsidP="00935A35">
          <w:pPr>
            <w:rPr>
              <w:b/>
              <w:bCs/>
              <w:color w:val="17365D" w:themeColor="accent1"/>
            </w:rPr>
          </w:pPr>
        </w:p>
      </w:tc>
      <w:tc>
        <w:tcPr>
          <w:tcW w:w="2501" w:type="pct"/>
          <w:vMerge/>
        </w:tcPr>
        <w:p w14:paraId="168D158D" w14:textId="77777777" w:rsidR="00935A35" w:rsidRDefault="00935A35" w:rsidP="00935A35"/>
      </w:tc>
    </w:tr>
  </w:tbl>
  <w:p w14:paraId="40805081" w14:textId="6B4375AC" w:rsidR="00935A35" w:rsidRDefault="00935A35" w:rsidP="00935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825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0C57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4A2D10"/>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AE8E1FC4"/>
    <w:lvl w:ilvl="0">
      <w:start w:val="1"/>
      <w:numFmt w:val="decimal"/>
      <w:pStyle w:val="Numreradrubrik1"/>
      <w:suff w:val="space"/>
      <w:lvlText w:val="%1."/>
      <w:lvlJc w:val="left"/>
      <w:pPr>
        <w:ind w:left="0" w:firstLine="0"/>
      </w:pPr>
      <w:rPr>
        <w:rFonts w:hint="default"/>
      </w:rPr>
    </w:lvl>
    <w:lvl w:ilvl="1">
      <w:start w:val="1"/>
      <w:numFmt w:val="decimal"/>
      <w:pStyle w:val="Numreradrubrik2"/>
      <w:suff w:val="space"/>
      <w:lvlText w:val="%1.%2"/>
      <w:lvlJc w:val="left"/>
      <w:pPr>
        <w:ind w:left="0" w:firstLine="0"/>
      </w:pPr>
      <w:rPr>
        <w:rFonts w:hint="default"/>
      </w:rPr>
    </w:lvl>
    <w:lvl w:ilvl="2">
      <w:start w:val="1"/>
      <w:numFmt w:val="decimal"/>
      <w:pStyle w:val="Numreradrubrik3"/>
      <w:suff w:val="space"/>
      <w:lvlText w:val="%1.%2.%3"/>
      <w:lvlJc w:val="left"/>
      <w:pPr>
        <w:ind w:left="0" w:firstLine="0"/>
      </w:pPr>
      <w:rPr>
        <w:rFonts w:hint="default"/>
      </w:rPr>
    </w:lvl>
    <w:lvl w:ilvl="3">
      <w:start w:val="1"/>
      <w:numFmt w:val="decimal"/>
      <w:pStyle w:val="Numreradrubrik4"/>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23164B"/>
    <w:multiLevelType w:val="multilevel"/>
    <w:tmpl w:val="4CEA28D4"/>
    <w:lvl w:ilvl="0">
      <w:start w:val="1"/>
      <w:numFmt w:val="decimal"/>
      <w:lvlText w:val="%1."/>
      <w:lvlJc w:val="left"/>
      <w:pPr>
        <w:ind w:left="340" w:hanging="3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40" w:hanging="340"/>
      </w:pPr>
      <w:rPr>
        <w:rFonts w:hint="default"/>
      </w:rPr>
    </w:lvl>
    <w:lvl w:ilvl="2">
      <w:start w:val="1"/>
      <w:numFmt w:val="decimal"/>
      <w:lvlText w:val="%2.%1.%3."/>
      <w:lvlJc w:val="left"/>
      <w:pPr>
        <w:ind w:left="340" w:hanging="340"/>
      </w:pPr>
      <w:rPr>
        <w:rFonts w:hint="default"/>
      </w:rPr>
    </w:lvl>
    <w:lvl w:ilvl="3">
      <w:start w:val="1"/>
      <w:numFmt w:val="decimal"/>
      <w:lvlText w:val="%4.%2.%1.%3"/>
      <w:lvlJc w:val="left"/>
      <w:pPr>
        <w:ind w:left="34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5" w15:restartNumberingAfterBreak="0">
    <w:nsid w:val="3A2F67AA"/>
    <w:multiLevelType w:val="multilevel"/>
    <w:tmpl w:val="7554A1C2"/>
    <w:lvl w:ilvl="0">
      <w:start w:val="1"/>
      <w:numFmt w:val="decimal"/>
      <w:lvlText w:val="%1."/>
      <w:lvlJc w:val="left"/>
      <w:pPr>
        <w:ind w:left="340" w:hanging="340"/>
      </w:pPr>
      <w:rPr>
        <w:rFonts w:hint="default"/>
      </w:rPr>
    </w:lvl>
    <w:lvl w:ilvl="1">
      <w:start w:val="1"/>
      <w:numFmt w:val="decimal"/>
      <w:lvlText w:val="%1.%2."/>
      <w:lvlJc w:val="left"/>
      <w:pPr>
        <w:ind w:left="340" w:hanging="340"/>
      </w:pPr>
      <w:rPr>
        <w:rFonts w:hint="default"/>
        <w:b w:val="0"/>
        <w:i w:val="0"/>
        <w:u w:val="none"/>
      </w:rPr>
    </w:lvl>
    <w:lvl w:ilvl="2">
      <w:start w:val="1"/>
      <w:numFmt w:val="decimal"/>
      <w:lvlText w:val="%1.%2.%3."/>
      <w:lvlJc w:val="left"/>
      <w:pPr>
        <w:ind w:left="1020" w:hanging="340"/>
      </w:pPr>
      <w:rPr>
        <w:rFonts w:hint="default"/>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16" w15:restartNumberingAfterBreak="0">
    <w:nsid w:val="67F45503"/>
    <w:multiLevelType w:val="multilevel"/>
    <w:tmpl w:val="BD084ED4"/>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7"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5558926">
    <w:abstractNumId w:val="17"/>
  </w:num>
  <w:num w:numId="2" w16cid:durableId="1081220760">
    <w:abstractNumId w:val="3"/>
  </w:num>
  <w:num w:numId="3" w16cid:durableId="73823796">
    <w:abstractNumId w:val="2"/>
  </w:num>
  <w:num w:numId="4" w16cid:durableId="1963923260">
    <w:abstractNumId w:val="1"/>
  </w:num>
  <w:num w:numId="5" w16cid:durableId="1816755900">
    <w:abstractNumId w:val="0"/>
  </w:num>
  <w:num w:numId="6" w16cid:durableId="1218932488">
    <w:abstractNumId w:val="9"/>
  </w:num>
  <w:num w:numId="7" w16cid:durableId="1378507434">
    <w:abstractNumId w:val="7"/>
  </w:num>
  <w:num w:numId="8" w16cid:durableId="751436469">
    <w:abstractNumId w:val="6"/>
  </w:num>
  <w:num w:numId="9" w16cid:durableId="161547220">
    <w:abstractNumId w:val="5"/>
  </w:num>
  <w:num w:numId="10" w16cid:durableId="268395436">
    <w:abstractNumId w:val="4"/>
  </w:num>
  <w:num w:numId="11" w16cid:durableId="363479126">
    <w:abstractNumId w:val="11"/>
  </w:num>
  <w:num w:numId="12" w16cid:durableId="867253727">
    <w:abstractNumId w:val="9"/>
  </w:num>
  <w:num w:numId="13" w16cid:durableId="371148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1671593">
    <w:abstractNumId w:val="12"/>
  </w:num>
  <w:num w:numId="15" w16cid:durableId="724523246">
    <w:abstractNumId w:val="10"/>
  </w:num>
  <w:num w:numId="16" w16cid:durableId="1447389912">
    <w:abstractNumId w:val="13"/>
  </w:num>
  <w:num w:numId="17" w16cid:durableId="1727096347">
    <w:abstractNumId w:val="8"/>
  </w:num>
  <w:num w:numId="18" w16cid:durableId="1337801500">
    <w:abstractNumId w:val="15"/>
  </w:num>
  <w:num w:numId="19" w16cid:durableId="962424847">
    <w:abstractNumId w:val="16"/>
  </w:num>
  <w:num w:numId="20" w16cid:durableId="1397821555">
    <w:abstractNumId w:val="14"/>
  </w:num>
  <w:num w:numId="21" w16cid:durableId="8023714">
    <w:abstractNumId w:val="17"/>
  </w:num>
  <w:num w:numId="22" w16cid:durableId="281227678">
    <w:abstractNumId w:val="17"/>
  </w:num>
  <w:num w:numId="23" w16cid:durableId="131169819">
    <w:abstractNumId w:val="17"/>
  </w:num>
  <w:num w:numId="24" w16cid:durableId="874780745">
    <w:abstractNumId w:val="17"/>
  </w:num>
  <w:num w:numId="25" w16cid:durableId="776631901">
    <w:abstractNumId w:val="17"/>
  </w:num>
  <w:num w:numId="26" w16cid:durableId="72630215">
    <w:abstractNumId w:val="9"/>
  </w:num>
  <w:num w:numId="27" w16cid:durableId="1017581388">
    <w:abstractNumId w:val="9"/>
  </w:num>
  <w:num w:numId="28" w16cid:durableId="1077169988">
    <w:abstractNumId w:val="9"/>
  </w:num>
  <w:num w:numId="29" w16cid:durableId="2120486624">
    <w:abstractNumId w:val="9"/>
  </w:num>
  <w:num w:numId="30" w16cid:durableId="2090343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1" w:val="C:\Users\MariaÅkerström\Autotask Workplace\Cliens\FIL\1911_D"/>
    <w:docVar w:name="Var2" w:val="A - Rapportmallar (6819)\Arbetsmapp\ÅR Tbl och Diagram.xlsm"/>
  </w:docVars>
  <w:rsids>
    <w:rsidRoot w:val="00F71D34"/>
    <w:rsid w:val="0000186C"/>
    <w:rsid w:val="000035D1"/>
    <w:rsid w:val="00003EE8"/>
    <w:rsid w:val="00013090"/>
    <w:rsid w:val="000165EA"/>
    <w:rsid w:val="00023CF5"/>
    <w:rsid w:val="00027F59"/>
    <w:rsid w:val="000304A9"/>
    <w:rsid w:val="0003108D"/>
    <w:rsid w:val="00035827"/>
    <w:rsid w:val="000428AA"/>
    <w:rsid w:val="0004326F"/>
    <w:rsid w:val="000505A1"/>
    <w:rsid w:val="000552AA"/>
    <w:rsid w:val="00055A26"/>
    <w:rsid w:val="000621B7"/>
    <w:rsid w:val="00067B5A"/>
    <w:rsid w:val="00071E16"/>
    <w:rsid w:val="00081E07"/>
    <w:rsid w:val="00082E95"/>
    <w:rsid w:val="00083807"/>
    <w:rsid w:val="000911B1"/>
    <w:rsid w:val="000927CE"/>
    <w:rsid w:val="0009708B"/>
    <w:rsid w:val="000A0F8F"/>
    <w:rsid w:val="000A240C"/>
    <w:rsid w:val="000A259F"/>
    <w:rsid w:val="000A2B19"/>
    <w:rsid w:val="000A4AEF"/>
    <w:rsid w:val="000B4630"/>
    <w:rsid w:val="000B5492"/>
    <w:rsid w:val="000C0B21"/>
    <w:rsid w:val="000C22A0"/>
    <w:rsid w:val="000C60F9"/>
    <w:rsid w:val="000D29F7"/>
    <w:rsid w:val="000D3F2C"/>
    <w:rsid w:val="000D4286"/>
    <w:rsid w:val="000D75D5"/>
    <w:rsid w:val="000D787A"/>
    <w:rsid w:val="000E02E4"/>
    <w:rsid w:val="000E33AF"/>
    <w:rsid w:val="000F1222"/>
    <w:rsid w:val="001019DC"/>
    <w:rsid w:val="0010206C"/>
    <w:rsid w:val="001045FA"/>
    <w:rsid w:val="0011141C"/>
    <w:rsid w:val="0011207E"/>
    <w:rsid w:val="001232DF"/>
    <w:rsid w:val="001256D8"/>
    <w:rsid w:val="00131145"/>
    <w:rsid w:val="001317D9"/>
    <w:rsid w:val="00136C6B"/>
    <w:rsid w:val="00142663"/>
    <w:rsid w:val="00150B76"/>
    <w:rsid w:val="00156580"/>
    <w:rsid w:val="00161C04"/>
    <w:rsid w:val="00165C4B"/>
    <w:rsid w:val="0017682B"/>
    <w:rsid w:val="00182EE8"/>
    <w:rsid w:val="0019102A"/>
    <w:rsid w:val="0019680D"/>
    <w:rsid w:val="001A2115"/>
    <w:rsid w:val="001A41BC"/>
    <w:rsid w:val="001A7D3F"/>
    <w:rsid w:val="001B0EA3"/>
    <w:rsid w:val="001B2002"/>
    <w:rsid w:val="001B4BB9"/>
    <w:rsid w:val="001B5AF6"/>
    <w:rsid w:val="001C4254"/>
    <w:rsid w:val="001D3055"/>
    <w:rsid w:val="001D3D08"/>
    <w:rsid w:val="001D4C3B"/>
    <w:rsid w:val="001E163B"/>
    <w:rsid w:val="001E3EF2"/>
    <w:rsid w:val="0021366A"/>
    <w:rsid w:val="00220B93"/>
    <w:rsid w:val="00223094"/>
    <w:rsid w:val="00223F7A"/>
    <w:rsid w:val="00232029"/>
    <w:rsid w:val="0023309C"/>
    <w:rsid w:val="002346A2"/>
    <w:rsid w:val="00235637"/>
    <w:rsid w:val="002379F2"/>
    <w:rsid w:val="00237D8B"/>
    <w:rsid w:val="00242529"/>
    <w:rsid w:val="0024423F"/>
    <w:rsid w:val="00250078"/>
    <w:rsid w:val="002611BD"/>
    <w:rsid w:val="0027150D"/>
    <w:rsid w:val="00272238"/>
    <w:rsid w:val="00273C7D"/>
    <w:rsid w:val="002850F6"/>
    <w:rsid w:val="00287C14"/>
    <w:rsid w:val="002A223C"/>
    <w:rsid w:val="002A48ED"/>
    <w:rsid w:val="002A5FEE"/>
    <w:rsid w:val="002B26CD"/>
    <w:rsid w:val="002C4754"/>
    <w:rsid w:val="002D30CB"/>
    <w:rsid w:val="002E1387"/>
    <w:rsid w:val="002E600D"/>
    <w:rsid w:val="002E7E47"/>
    <w:rsid w:val="002F2A9B"/>
    <w:rsid w:val="002F7366"/>
    <w:rsid w:val="003072FC"/>
    <w:rsid w:val="00311037"/>
    <w:rsid w:val="00321B2B"/>
    <w:rsid w:val="00321CF8"/>
    <w:rsid w:val="00337D37"/>
    <w:rsid w:val="00340CB2"/>
    <w:rsid w:val="0035044E"/>
    <w:rsid w:val="00351AE5"/>
    <w:rsid w:val="003635B8"/>
    <w:rsid w:val="003646A0"/>
    <w:rsid w:val="0037036E"/>
    <w:rsid w:val="00375BCD"/>
    <w:rsid w:val="003857B2"/>
    <w:rsid w:val="00385B9A"/>
    <w:rsid w:val="003950C1"/>
    <w:rsid w:val="00396DFC"/>
    <w:rsid w:val="003977E2"/>
    <w:rsid w:val="003A0207"/>
    <w:rsid w:val="003A0FEC"/>
    <w:rsid w:val="003A20EC"/>
    <w:rsid w:val="003A4638"/>
    <w:rsid w:val="003A5FF1"/>
    <w:rsid w:val="003B00EC"/>
    <w:rsid w:val="003B01B7"/>
    <w:rsid w:val="003C7381"/>
    <w:rsid w:val="003D1AD5"/>
    <w:rsid w:val="003D4A0C"/>
    <w:rsid w:val="003D584D"/>
    <w:rsid w:val="003E086E"/>
    <w:rsid w:val="003E2F1A"/>
    <w:rsid w:val="003E36DE"/>
    <w:rsid w:val="003F0BD7"/>
    <w:rsid w:val="003F5387"/>
    <w:rsid w:val="003F5D61"/>
    <w:rsid w:val="00400A1C"/>
    <w:rsid w:val="00411FB3"/>
    <w:rsid w:val="00421469"/>
    <w:rsid w:val="00424701"/>
    <w:rsid w:val="00424845"/>
    <w:rsid w:val="00432F8E"/>
    <w:rsid w:val="004363C3"/>
    <w:rsid w:val="00440343"/>
    <w:rsid w:val="004457CA"/>
    <w:rsid w:val="004539FA"/>
    <w:rsid w:val="004608D3"/>
    <w:rsid w:val="00463F60"/>
    <w:rsid w:val="00466ABB"/>
    <w:rsid w:val="00471739"/>
    <w:rsid w:val="004723E4"/>
    <w:rsid w:val="00472FE4"/>
    <w:rsid w:val="00476DDD"/>
    <w:rsid w:val="00481060"/>
    <w:rsid w:val="00483F66"/>
    <w:rsid w:val="004A00A6"/>
    <w:rsid w:val="004A3C18"/>
    <w:rsid w:val="004A3EB0"/>
    <w:rsid w:val="004B6134"/>
    <w:rsid w:val="004C1EE6"/>
    <w:rsid w:val="004D634C"/>
    <w:rsid w:val="004D7E28"/>
    <w:rsid w:val="004E08FC"/>
    <w:rsid w:val="004E0B05"/>
    <w:rsid w:val="004F0175"/>
    <w:rsid w:val="004F6E9F"/>
    <w:rsid w:val="004F7419"/>
    <w:rsid w:val="00510595"/>
    <w:rsid w:val="0051478F"/>
    <w:rsid w:val="005208A6"/>
    <w:rsid w:val="00522484"/>
    <w:rsid w:val="00531996"/>
    <w:rsid w:val="00532F14"/>
    <w:rsid w:val="00535B60"/>
    <w:rsid w:val="005451E8"/>
    <w:rsid w:val="00546841"/>
    <w:rsid w:val="005537A8"/>
    <w:rsid w:val="0055446D"/>
    <w:rsid w:val="005600EC"/>
    <w:rsid w:val="005625AF"/>
    <w:rsid w:val="0056560F"/>
    <w:rsid w:val="00567444"/>
    <w:rsid w:val="00575871"/>
    <w:rsid w:val="00591191"/>
    <w:rsid w:val="0059372A"/>
    <w:rsid w:val="00594D98"/>
    <w:rsid w:val="00597229"/>
    <w:rsid w:val="005A0141"/>
    <w:rsid w:val="005A2BD2"/>
    <w:rsid w:val="005A403A"/>
    <w:rsid w:val="005A6384"/>
    <w:rsid w:val="005A7737"/>
    <w:rsid w:val="005B2AA8"/>
    <w:rsid w:val="005B36EC"/>
    <w:rsid w:val="005B7B04"/>
    <w:rsid w:val="005C4D43"/>
    <w:rsid w:val="005C6293"/>
    <w:rsid w:val="005C6423"/>
    <w:rsid w:val="005C64EC"/>
    <w:rsid w:val="005D7CA9"/>
    <w:rsid w:val="005E0A6D"/>
    <w:rsid w:val="005E0CDB"/>
    <w:rsid w:val="005F29FB"/>
    <w:rsid w:val="00606B0F"/>
    <w:rsid w:val="006137D6"/>
    <w:rsid w:val="00632D6F"/>
    <w:rsid w:val="00632EB5"/>
    <w:rsid w:val="006333FD"/>
    <w:rsid w:val="00641248"/>
    <w:rsid w:val="00647776"/>
    <w:rsid w:val="0066598B"/>
    <w:rsid w:val="00667988"/>
    <w:rsid w:val="00675A90"/>
    <w:rsid w:val="00686C3C"/>
    <w:rsid w:val="00693ED8"/>
    <w:rsid w:val="00697C2E"/>
    <w:rsid w:val="006A60A8"/>
    <w:rsid w:val="006B3AC6"/>
    <w:rsid w:val="006B4F7D"/>
    <w:rsid w:val="006C0636"/>
    <w:rsid w:val="006D3993"/>
    <w:rsid w:val="006D774B"/>
    <w:rsid w:val="006E43A5"/>
    <w:rsid w:val="006F0C22"/>
    <w:rsid w:val="007074FF"/>
    <w:rsid w:val="0074797D"/>
    <w:rsid w:val="00754E6E"/>
    <w:rsid w:val="00772B6E"/>
    <w:rsid w:val="007829D2"/>
    <w:rsid w:val="00783074"/>
    <w:rsid w:val="0078522D"/>
    <w:rsid w:val="00792ACC"/>
    <w:rsid w:val="00793C46"/>
    <w:rsid w:val="007A0B53"/>
    <w:rsid w:val="007A1A66"/>
    <w:rsid w:val="007A393C"/>
    <w:rsid w:val="007B1A33"/>
    <w:rsid w:val="007B634A"/>
    <w:rsid w:val="007C035B"/>
    <w:rsid w:val="007C0B2D"/>
    <w:rsid w:val="007C0B49"/>
    <w:rsid w:val="007C2A03"/>
    <w:rsid w:val="007C5139"/>
    <w:rsid w:val="007C6CC4"/>
    <w:rsid w:val="007D2060"/>
    <w:rsid w:val="007D3607"/>
    <w:rsid w:val="007D4151"/>
    <w:rsid w:val="007D480A"/>
    <w:rsid w:val="007E16FA"/>
    <w:rsid w:val="007E1EB3"/>
    <w:rsid w:val="007E268A"/>
    <w:rsid w:val="007E3ABA"/>
    <w:rsid w:val="007E6438"/>
    <w:rsid w:val="007E6568"/>
    <w:rsid w:val="007F3766"/>
    <w:rsid w:val="007F4096"/>
    <w:rsid w:val="007F5456"/>
    <w:rsid w:val="00801BBF"/>
    <w:rsid w:val="00810BCD"/>
    <w:rsid w:val="00813607"/>
    <w:rsid w:val="008213E2"/>
    <w:rsid w:val="008215CB"/>
    <w:rsid w:val="00824971"/>
    <w:rsid w:val="00826478"/>
    <w:rsid w:val="00834506"/>
    <w:rsid w:val="00834E7E"/>
    <w:rsid w:val="008352E8"/>
    <w:rsid w:val="008574B7"/>
    <w:rsid w:val="00861E91"/>
    <w:rsid w:val="00863DD7"/>
    <w:rsid w:val="00870403"/>
    <w:rsid w:val="00873B54"/>
    <w:rsid w:val="00875CBE"/>
    <w:rsid w:val="00875E98"/>
    <w:rsid w:val="00877246"/>
    <w:rsid w:val="0088121C"/>
    <w:rsid w:val="00883E24"/>
    <w:rsid w:val="008845A6"/>
    <w:rsid w:val="008A1605"/>
    <w:rsid w:val="008A4A44"/>
    <w:rsid w:val="008A525C"/>
    <w:rsid w:val="008A5380"/>
    <w:rsid w:val="008A5B7E"/>
    <w:rsid w:val="008C5285"/>
    <w:rsid w:val="008D42DD"/>
    <w:rsid w:val="008D4CF4"/>
    <w:rsid w:val="008D4F31"/>
    <w:rsid w:val="008D5964"/>
    <w:rsid w:val="008E0CB5"/>
    <w:rsid w:val="008E2DC4"/>
    <w:rsid w:val="008F23E3"/>
    <w:rsid w:val="008F5211"/>
    <w:rsid w:val="00910C25"/>
    <w:rsid w:val="0091202B"/>
    <w:rsid w:val="0091229C"/>
    <w:rsid w:val="009255D9"/>
    <w:rsid w:val="00925918"/>
    <w:rsid w:val="009332F4"/>
    <w:rsid w:val="00933F25"/>
    <w:rsid w:val="00935A35"/>
    <w:rsid w:val="00936659"/>
    <w:rsid w:val="00942551"/>
    <w:rsid w:val="009433F7"/>
    <w:rsid w:val="009464B2"/>
    <w:rsid w:val="00955C1C"/>
    <w:rsid w:val="00956368"/>
    <w:rsid w:val="009638B9"/>
    <w:rsid w:val="009641A9"/>
    <w:rsid w:val="00972D16"/>
    <w:rsid w:val="00973775"/>
    <w:rsid w:val="00976057"/>
    <w:rsid w:val="0099159C"/>
    <w:rsid w:val="0099293C"/>
    <w:rsid w:val="009A4CB4"/>
    <w:rsid w:val="009B2791"/>
    <w:rsid w:val="009B2A5B"/>
    <w:rsid w:val="009B7364"/>
    <w:rsid w:val="009C0DF1"/>
    <w:rsid w:val="009D509B"/>
    <w:rsid w:val="009E6790"/>
    <w:rsid w:val="009E6EF9"/>
    <w:rsid w:val="009E7B9D"/>
    <w:rsid w:val="009E7F82"/>
    <w:rsid w:val="00A0142A"/>
    <w:rsid w:val="00A04900"/>
    <w:rsid w:val="00A06CB1"/>
    <w:rsid w:val="00A072BA"/>
    <w:rsid w:val="00A0744E"/>
    <w:rsid w:val="00A076D6"/>
    <w:rsid w:val="00A17327"/>
    <w:rsid w:val="00A17B37"/>
    <w:rsid w:val="00A2125B"/>
    <w:rsid w:val="00A23320"/>
    <w:rsid w:val="00A2474B"/>
    <w:rsid w:val="00A25F20"/>
    <w:rsid w:val="00A31D93"/>
    <w:rsid w:val="00A370BC"/>
    <w:rsid w:val="00A40CF4"/>
    <w:rsid w:val="00A51CEF"/>
    <w:rsid w:val="00A7178B"/>
    <w:rsid w:val="00A7528B"/>
    <w:rsid w:val="00A80C68"/>
    <w:rsid w:val="00A87452"/>
    <w:rsid w:val="00A87B49"/>
    <w:rsid w:val="00A900E8"/>
    <w:rsid w:val="00A96DA2"/>
    <w:rsid w:val="00AA2BDD"/>
    <w:rsid w:val="00AA3A34"/>
    <w:rsid w:val="00AA5C9A"/>
    <w:rsid w:val="00AB57E2"/>
    <w:rsid w:val="00AB749D"/>
    <w:rsid w:val="00AC7699"/>
    <w:rsid w:val="00AD0F24"/>
    <w:rsid w:val="00AD354E"/>
    <w:rsid w:val="00AD5832"/>
    <w:rsid w:val="00AE3533"/>
    <w:rsid w:val="00AF1BF5"/>
    <w:rsid w:val="00AF4806"/>
    <w:rsid w:val="00AF5B57"/>
    <w:rsid w:val="00B12D9E"/>
    <w:rsid w:val="00B16D7C"/>
    <w:rsid w:val="00B21051"/>
    <w:rsid w:val="00B26B39"/>
    <w:rsid w:val="00B30455"/>
    <w:rsid w:val="00B35622"/>
    <w:rsid w:val="00B4285A"/>
    <w:rsid w:val="00B51634"/>
    <w:rsid w:val="00B521C5"/>
    <w:rsid w:val="00B528E3"/>
    <w:rsid w:val="00B6416A"/>
    <w:rsid w:val="00B71B19"/>
    <w:rsid w:val="00B80901"/>
    <w:rsid w:val="00B91637"/>
    <w:rsid w:val="00BA2615"/>
    <w:rsid w:val="00BB1BD3"/>
    <w:rsid w:val="00BB48AC"/>
    <w:rsid w:val="00BB784A"/>
    <w:rsid w:val="00BB7B8B"/>
    <w:rsid w:val="00BE0327"/>
    <w:rsid w:val="00BE3F3D"/>
    <w:rsid w:val="00BE4167"/>
    <w:rsid w:val="00BE72E2"/>
    <w:rsid w:val="00BF1EFA"/>
    <w:rsid w:val="00BF45A1"/>
    <w:rsid w:val="00C0198A"/>
    <w:rsid w:val="00C02681"/>
    <w:rsid w:val="00C02812"/>
    <w:rsid w:val="00C069DF"/>
    <w:rsid w:val="00C079B5"/>
    <w:rsid w:val="00C10369"/>
    <w:rsid w:val="00C13434"/>
    <w:rsid w:val="00C21698"/>
    <w:rsid w:val="00C323E1"/>
    <w:rsid w:val="00C358B5"/>
    <w:rsid w:val="00C36A35"/>
    <w:rsid w:val="00C4216C"/>
    <w:rsid w:val="00C520F6"/>
    <w:rsid w:val="00C63DA4"/>
    <w:rsid w:val="00C64D43"/>
    <w:rsid w:val="00C70C71"/>
    <w:rsid w:val="00C745F7"/>
    <w:rsid w:val="00C75A06"/>
    <w:rsid w:val="00C75AEF"/>
    <w:rsid w:val="00C83367"/>
    <w:rsid w:val="00C85AC1"/>
    <w:rsid w:val="00C94FAE"/>
    <w:rsid w:val="00CA155C"/>
    <w:rsid w:val="00CC149C"/>
    <w:rsid w:val="00CC3124"/>
    <w:rsid w:val="00CC3657"/>
    <w:rsid w:val="00CC4E93"/>
    <w:rsid w:val="00CC4ED5"/>
    <w:rsid w:val="00CC6457"/>
    <w:rsid w:val="00CD0D14"/>
    <w:rsid w:val="00CD1EA9"/>
    <w:rsid w:val="00CD3F55"/>
    <w:rsid w:val="00CF45FC"/>
    <w:rsid w:val="00CF4756"/>
    <w:rsid w:val="00D02559"/>
    <w:rsid w:val="00D02796"/>
    <w:rsid w:val="00D05740"/>
    <w:rsid w:val="00D070FF"/>
    <w:rsid w:val="00D1015C"/>
    <w:rsid w:val="00D14382"/>
    <w:rsid w:val="00D15012"/>
    <w:rsid w:val="00D1521D"/>
    <w:rsid w:val="00D17CC0"/>
    <w:rsid w:val="00D2298A"/>
    <w:rsid w:val="00D24D20"/>
    <w:rsid w:val="00D266F9"/>
    <w:rsid w:val="00D315AF"/>
    <w:rsid w:val="00D37A24"/>
    <w:rsid w:val="00D451E0"/>
    <w:rsid w:val="00D4779E"/>
    <w:rsid w:val="00D5047D"/>
    <w:rsid w:val="00D54370"/>
    <w:rsid w:val="00D61790"/>
    <w:rsid w:val="00D66958"/>
    <w:rsid w:val="00D75CA4"/>
    <w:rsid w:val="00D85B0E"/>
    <w:rsid w:val="00D9454C"/>
    <w:rsid w:val="00DA39B7"/>
    <w:rsid w:val="00DC7BE2"/>
    <w:rsid w:val="00DF0444"/>
    <w:rsid w:val="00DF42CC"/>
    <w:rsid w:val="00E01162"/>
    <w:rsid w:val="00E03E7F"/>
    <w:rsid w:val="00E052C0"/>
    <w:rsid w:val="00E05BFC"/>
    <w:rsid w:val="00E06519"/>
    <w:rsid w:val="00E15E0C"/>
    <w:rsid w:val="00E23987"/>
    <w:rsid w:val="00E33025"/>
    <w:rsid w:val="00E43EC3"/>
    <w:rsid w:val="00E47BBA"/>
    <w:rsid w:val="00E47F79"/>
    <w:rsid w:val="00E50040"/>
    <w:rsid w:val="00E513C9"/>
    <w:rsid w:val="00E52BB4"/>
    <w:rsid w:val="00E56A3A"/>
    <w:rsid w:val="00E66CA0"/>
    <w:rsid w:val="00E75EFC"/>
    <w:rsid w:val="00E775AE"/>
    <w:rsid w:val="00EA5354"/>
    <w:rsid w:val="00EB111F"/>
    <w:rsid w:val="00EB1E30"/>
    <w:rsid w:val="00EB547C"/>
    <w:rsid w:val="00EB60E6"/>
    <w:rsid w:val="00EB66D2"/>
    <w:rsid w:val="00EC1F26"/>
    <w:rsid w:val="00EC2CEF"/>
    <w:rsid w:val="00EC5EB1"/>
    <w:rsid w:val="00EC6940"/>
    <w:rsid w:val="00ED6C6F"/>
    <w:rsid w:val="00EE1739"/>
    <w:rsid w:val="00EF208A"/>
    <w:rsid w:val="00EF58B6"/>
    <w:rsid w:val="00F0084C"/>
    <w:rsid w:val="00F01EF5"/>
    <w:rsid w:val="00F120CC"/>
    <w:rsid w:val="00F245D2"/>
    <w:rsid w:val="00F31EB4"/>
    <w:rsid w:val="00F36135"/>
    <w:rsid w:val="00F4778E"/>
    <w:rsid w:val="00F5205D"/>
    <w:rsid w:val="00F610B1"/>
    <w:rsid w:val="00F61558"/>
    <w:rsid w:val="00F615CD"/>
    <w:rsid w:val="00F61F0E"/>
    <w:rsid w:val="00F62DA5"/>
    <w:rsid w:val="00F65437"/>
    <w:rsid w:val="00F70A1D"/>
    <w:rsid w:val="00F71D34"/>
    <w:rsid w:val="00F76B9F"/>
    <w:rsid w:val="00F85940"/>
    <w:rsid w:val="00F917CA"/>
    <w:rsid w:val="00F957B4"/>
    <w:rsid w:val="00FA5593"/>
    <w:rsid w:val="00FB56BC"/>
    <w:rsid w:val="00FB79DE"/>
    <w:rsid w:val="00FC0951"/>
    <w:rsid w:val="00FC1057"/>
    <w:rsid w:val="00FC6F9F"/>
    <w:rsid w:val="00FC77FF"/>
    <w:rsid w:val="00FD1FEE"/>
    <w:rsid w:val="00FD3689"/>
    <w:rsid w:val="00FD4E09"/>
    <w:rsid w:val="00FF71A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47F7CB7"/>
  <w15:chartTrackingRefBased/>
  <w15:docId w15:val="{1A6B3B23-049D-4245-8BD0-6EC29F28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before="40" w:after="180"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60"/>
    <w:rPr>
      <w:sz w:val="18"/>
    </w:rPr>
  </w:style>
  <w:style w:type="paragraph" w:styleId="Heading1">
    <w:name w:val="heading 1"/>
    <w:basedOn w:val="Title"/>
    <w:next w:val="Normal"/>
    <w:link w:val="Heading1Char"/>
    <w:uiPriority w:val="9"/>
    <w:qFormat/>
    <w:rsid w:val="00165C4B"/>
    <w:pPr>
      <w:keepNext/>
      <w:keepLines/>
      <w:jc w:val="left"/>
      <w:outlineLvl w:val="0"/>
    </w:pPr>
    <w:rPr>
      <w:bCs w:val="0"/>
      <w:caps/>
      <w:color w:val="17365D" w:themeColor="accent1"/>
      <w:sz w:val="80"/>
      <w:szCs w:val="28"/>
    </w:rPr>
  </w:style>
  <w:style w:type="paragraph" w:styleId="Heading2">
    <w:name w:val="heading 2"/>
    <w:basedOn w:val="Heading1"/>
    <w:next w:val="Normal"/>
    <w:link w:val="Heading2Char"/>
    <w:uiPriority w:val="9"/>
    <w:qFormat/>
    <w:rsid w:val="00B51634"/>
    <w:pPr>
      <w:spacing w:before="240"/>
      <w:outlineLvl w:val="1"/>
    </w:pPr>
    <w:rPr>
      <w:bCs/>
      <w:caps w:val="0"/>
      <w:color w:val="auto"/>
      <w:sz w:val="26"/>
    </w:rPr>
  </w:style>
  <w:style w:type="paragraph" w:styleId="Heading3">
    <w:name w:val="heading 3"/>
    <w:basedOn w:val="Heading2"/>
    <w:next w:val="Normal"/>
    <w:link w:val="Heading3Char"/>
    <w:uiPriority w:val="9"/>
    <w:qFormat/>
    <w:rsid w:val="00B51634"/>
    <w:pPr>
      <w:outlineLvl w:val="2"/>
    </w:pPr>
    <w:rPr>
      <w:sz w:val="22"/>
      <w:szCs w:val="24"/>
    </w:rPr>
  </w:style>
  <w:style w:type="paragraph" w:styleId="Heading4">
    <w:name w:val="heading 4"/>
    <w:basedOn w:val="Heading3"/>
    <w:next w:val="Normal"/>
    <w:link w:val="Heading4Char"/>
    <w:uiPriority w:val="9"/>
    <w:qFormat/>
    <w:rsid w:val="00647776"/>
    <w:pPr>
      <w:spacing w:before="160" w:after="120"/>
      <w:outlineLvl w:val="3"/>
    </w:pPr>
    <w:rPr>
      <w:iCs/>
      <w:color w:val="17365D" w:themeColor="accent1"/>
      <w:spacing w:val="4"/>
      <w:sz w:val="24"/>
    </w:rPr>
  </w:style>
  <w:style w:type="paragraph" w:styleId="Heading5">
    <w:name w:val="heading 5"/>
    <w:basedOn w:val="Heading4"/>
    <w:next w:val="Normal"/>
    <w:link w:val="Heading5Char"/>
    <w:uiPriority w:val="9"/>
    <w:semiHidden/>
    <w:qFormat/>
    <w:rsid w:val="00081E07"/>
    <w:pPr>
      <w:outlineLvl w:val="4"/>
    </w:pPr>
    <w:rPr>
      <w:b w:val="0"/>
      <w:bCs w:val="0"/>
      <w:i/>
    </w:rPr>
  </w:style>
  <w:style w:type="paragraph" w:styleId="Heading6">
    <w:name w:val="heading 6"/>
    <w:basedOn w:val="Heading5"/>
    <w:next w:val="Normal"/>
    <w:link w:val="Heading6Char"/>
    <w:uiPriority w:val="9"/>
    <w:semiHidden/>
    <w:rsid w:val="00081E07"/>
    <w:pPr>
      <w:outlineLvl w:val="5"/>
    </w:pPr>
    <w:rPr>
      <w:bCs/>
      <w:i w:val="0"/>
      <w:iCs w:val="0"/>
    </w:rPr>
  </w:style>
  <w:style w:type="paragraph" w:styleId="Heading7">
    <w:name w:val="heading 7"/>
    <w:basedOn w:val="Heading6"/>
    <w:next w:val="Normal"/>
    <w:link w:val="Heading7Char"/>
    <w:uiPriority w:val="9"/>
    <w:semiHidden/>
    <w:rsid w:val="00081E07"/>
    <w:pPr>
      <w:outlineLvl w:val="6"/>
    </w:pPr>
    <w:rPr>
      <w:b/>
      <w:iCs/>
    </w:rPr>
  </w:style>
  <w:style w:type="paragraph" w:styleId="Heading8">
    <w:name w:val="heading 8"/>
    <w:basedOn w:val="Normal"/>
    <w:next w:val="Normal"/>
    <w:link w:val="Heading8Char"/>
    <w:uiPriority w:val="9"/>
    <w:semiHidden/>
    <w:rsid w:val="005F29FB"/>
    <w:pPr>
      <w:keepNext/>
      <w:keepLines/>
      <w:spacing w:before="120" w:after="0"/>
      <w:outlineLvl w:val="7"/>
    </w:pPr>
    <w:rPr>
      <w:b/>
      <w:bCs/>
    </w:rPr>
  </w:style>
  <w:style w:type="paragraph" w:styleId="Heading9">
    <w:name w:val="heading 9"/>
    <w:basedOn w:val="Normal"/>
    <w:next w:val="Normal"/>
    <w:link w:val="Heading9Char"/>
    <w:uiPriority w:val="9"/>
    <w:semiHidden/>
    <w:rsid w:val="005F29F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C4B"/>
    <w:rPr>
      <w:rFonts w:asciiTheme="majorHAnsi" w:eastAsiaTheme="majorEastAsia" w:hAnsiTheme="majorHAnsi" w:cstheme="majorBidi"/>
      <w:b/>
      <w:caps/>
      <w:color w:val="17365D" w:themeColor="accent1"/>
      <w:sz w:val="80"/>
      <w:szCs w:val="28"/>
    </w:rPr>
  </w:style>
  <w:style w:type="character" w:customStyle="1" w:styleId="Heading2Char">
    <w:name w:val="Heading 2 Char"/>
    <w:basedOn w:val="DefaultParagraphFont"/>
    <w:link w:val="Heading2"/>
    <w:uiPriority w:val="9"/>
    <w:rsid w:val="00B51634"/>
    <w:rPr>
      <w:rFonts w:asciiTheme="majorHAnsi" w:eastAsiaTheme="majorEastAsia" w:hAnsiTheme="majorHAnsi" w:cstheme="majorBidi"/>
      <w:b/>
      <w:bCs/>
      <w:sz w:val="26"/>
      <w:szCs w:val="28"/>
    </w:rPr>
  </w:style>
  <w:style w:type="character" w:customStyle="1" w:styleId="Heading3Char">
    <w:name w:val="Heading 3 Char"/>
    <w:basedOn w:val="DefaultParagraphFont"/>
    <w:link w:val="Heading3"/>
    <w:uiPriority w:val="9"/>
    <w:rsid w:val="00B51634"/>
    <w:rPr>
      <w:rFonts w:asciiTheme="majorHAnsi" w:eastAsiaTheme="majorEastAsia" w:hAnsiTheme="majorHAnsi" w:cstheme="majorBidi"/>
      <w:b/>
      <w:bCs/>
      <w:sz w:val="22"/>
      <w:szCs w:val="24"/>
    </w:rPr>
  </w:style>
  <w:style w:type="character" w:customStyle="1" w:styleId="Heading4Char">
    <w:name w:val="Heading 4 Char"/>
    <w:basedOn w:val="DefaultParagraphFont"/>
    <w:link w:val="Heading4"/>
    <w:uiPriority w:val="9"/>
    <w:rsid w:val="00647776"/>
    <w:rPr>
      <w:rFonts w:asciiTheme="majorHAnsi" w:eastAsiaTheme="majorEastAsia" w:hAnsiTheme="majorHAnsi" w:cstheme="majorBidi"/>
      <w:b/>
      <w:bCs/>
      <w:iCs/>
      <w:color w:val="17365D" w:themeColor="accent1"/>
      <w:spacing w:val="4"/>
      <w:sz w:val="24"/>
      <w:szCs w:val="24"/>
    </w:rPr>
  </w:style>
  <w:style w:type="character" w:customStyle="1" w:styleId="Heading5Char">
    <w:name w:val="Heading 5 Char"/>
    <w:basedOn w:val="DefaultParagraphFont"/>
    <w:link w:val="Heading5"/>
    <w:uiPriority w:val="9"/>
    <w:semiHidden/>
    <w:rsid w:val="00483F66"/>
    <w:rPr>
      <w:rFonts w:asciiTheme="majorHAnsi" w:eastAsiaTheme="majorEastAsia" w:hAnsiTheme="majorHAnsi" w:cstheme="majorBidi"/>
      <w:b/>
      <w:iCs/>
      <w:spacing w:val="4"/>
      <w:szCs w:val="24"/>
    </w:rPr>
  </w:style>
  <w:style w:type="character" w:customStyle="1" w:styleId="Heading6Char">
    <w:name w:val="Heading 6 Char"/>
    <w:basedOn w:val="DefaultParagraphFont"/>
    <w:link w:val="Heading6"/>
    <w:uiPriority w:val="9"/>
    <w:semiHidden/>
    <w:rsid w:val="00483F66"/>
    <w:rPr>
      <w:rFonts w:asciiTheme="majorHAnsi" w:eastAsiaTheme="majorEastAsia" w:hAnsiTheme="majorHAnsi" w:cstheme="majorBidi"/>
      <w:b/>
      <w:bCs/>
      <w:i/>
      <w:spacing w:val="4"/>
      <w:szCs w:val="24"/>
    </w:rPr>
  </w:style>
  <w:style w:type="character" w:customStyle="1" w:styleId="Heading7Char">
    <w:name w:val="Heading 7 Char"/>
    <w:basedOn w:val="DefaultParagraphFont"/>
    <w:link w:val="Heading7"/>
    <w:uiPriority w:val="9"/>
    <w:semiHidden/>
    <w:rsid w:val="00483F66"/>
    <w:rPr>
      <w:rFonts w:asciiTheme="majorHAnsi" w:eastAsiaTheme="majorEastAsia" w:hAnsiTheme="majorHAnsi" w:cstheme="majorBidi"/>
      <w:bCs/>
      <w:i/>
      <w:iCs/>
      <w:spacing w:val="4"/>
      <w:szCs w:val="24"/>
    </w:rPr>
  </w:style>
  <w:style w:type="character" w:customStyle="1" w:styleId="Heading8Char">
    <w:name w:val="Heading 8 Char"/>
    <w:basedOn w:val="DefaultParagraphFont"/>
    <w:link w:val="Heading8"/>
    <w:uiPriority w:val="9"/>
    <w:semiHidden/>
    <w:rsid w:val="00483F66"/>
    <w:rPr>
      <w:b/>
      <w:bCs/>
    </w:rPr>
  </w:style>
  <w:style w:type="character" w:customStyle="1" w:styleId="Heading9Char">
    <w:name w:val="Heading 9 Char"/>
    <w:basedOn w:val="DefaultParagraphFont"/>
    <w:link w:val="Heading9"/>
    <w:uiPriority w:val="9"/>
    <w:semiHidden/>
    <w:rsid w:val="00483F66"/>
    <w:rPr>
      <w:i/>
      <w:iCs/>
    </w:rPr>
  </w:style>
  <w:style w:type="paragraph" w:styleId="Caption">
    <w:name w:val="caption"/>
    <w:basedOn w:val="Normal"/>
    <w:next w:val="Normal"/>
    <w:uiPriority w:val="99"/>
    <w:rsid w:val="005F29FB"/>
    <w:rPr>
      <w:b/>
      <w:bCs/>
    </w:rPr>
  </w:style>
  <w:style w:type="paragraph" w:styleId="Title">
    <w:name w:val="Title"/>
    <w:basedOn w:val="Normal"/>
    <w:next w:val="Normal"/>
    <w:link w:val="TitleChar"/>
    <w:uiPriority w:val="34"/>
    <w:qFormat/>
    <w:rsid w:val="00A0142A"/>
    <w:pPr>
      <w:spacing w:after="0"/>
      <w:contextualSpacing/>
      <w:jc w:val="center"/>
    </w:pPr>
    <w:rPr>
      <w:rFonts w:asciiTheme="majorHAnsi" w:eastAsiaTheme="majorEastAsia" w:hAnsiTheme="majorHAnsi" w:cstheme="majorBidi"/>
      <w:b/>
      <w:bCs/>
      <w:color w:val="FFFFFF" w:themeColor="background1"/>
      <w:sz w:val="52"/>
      <w:szCs w:val="48"/>
    </w:rPr>
  </w:style>
  <w:style w:type="character" w:customStyle="1" w:styleId="TitleChar">
    <w:name w:val="Title Char"/>
    <w:basedOn w:val="DefaultParagraphFont"/>
    <w:link w:val="Title"/>
    <w:uiPriority w:val="34"/>
    <w:rsid w:val="00A0142A"/>
    <w:rPr>
      <w:rFonts w:asciiTheme="majorHAnsi" w:eastAsiaTheme="majorEastAsia" w:hAnsiTheme="majorHAnsi" w:cstheme="majorBidi"/>
      <w:b/>
      <w:bCs/>
      <w:color w:val="FFFFFF" w:themeColor="background1"/>
      <w:sz w:val="52"/>
      <w:szCs w:val="48"/>
    </w:rPr>
  </w:style>
  <w:style w:type="paragraph" w:styleId="Subtitle">
    <w:name w:val="Subtitle"/>
    <w:basedOn w:val="Title"/>
    <w:next w:val="Normal"/>
    <w:link w:val="SubtitleChar"/>
    <w:uiPriority w:val="35"/>
    <w:qFormat/>
    <w:rsid w:val="00A0142A"/>
    <w:pPr>
      <w:numPr>
        <w:ilvl w:val="1"/>
      </w:numPr>
      <w:spacing w:before="240"/>
    </w:pPr>
    <w:rPr>
      <w:caps/>
      <w:sz w:val="40"/>
      <w:szCs w:val="24"/>
    </w:rPr>
  </w:style>
  <w:style w:type="character" w:customStyle="1" w:styleId="SubtitleChar">
    <w:name w:val="Subtitle Char"/>
    <w:basedOn w:val="DefaultParagraphFont"/>
    <w:link w:val="Subtitle"/>
    <w:uiPriority w:val="35"/>
    <w:rsid w:val="00A0142A"/>
    <w:rPr>
      <w:rFonts w:asciiTheme="majorHAnsi" w:eastAsiaTheme="majorEastAsia" w:hAnsiTheme="majorHAnsi" w:cstheme="majorBidi"/>
      <w:b/>
      <w:bCs/>
      <w:caps/>
      <w:color w:val="FFFFFF" w:themeColor="background1"/>
      <w:sz w:val="40"/>
      <w:szCs w:val="24"/>
    </w:rPr>
  </w:style>
  <w:style w:type="character" w:styleId="Strong">
    <w:name w:val="Strong"/>
    <w:basedOn w:val="DefaultParagraphFont"/>
    <w:uiPriority w:val="22"/>
    <w:semiHidden/>
    <w:rsid w:val="005F29FB"/>
    <w:rPr>
      <w:b/>
      <w:bCs/>
      <w:color w:val="auto"/>
    </w:rPr>
  </w:style>
  <w:style w:type="character" w:styleId="Emphasis">
    <w:name w:val="Emphasis"/>
    <w:basedOn w:val="DefaultParagraphFont"/>
    <w:uiPriority w:val="20"/>
    <w:semiHidden/>
    <w:rsid w:val="005F29FB"/>
    <w:rPr>
      <w:i/>
      <w:iCs/>
      <w:color w:val="auto"/>
    </w:rPr>
  </w:style>
  <w:style w:type="paragraph" w:styleId="NoSpacing">
    <w:name w:val="No Spacing"/>
    <w:uiPriority w:val="1"/>
    <w:rsid w:val="0011207E"/>
    <w:pPr>
      <w:spacing w:after="0"/>
    </w:pPr>
  </w:style>
  <w:style w:type="paragraph" w:styleId="Quote">
    <w:name w:val="Quote"/>
    <w:basedOn w:val="Normal"/>
    <w:next w:val="Normal"/>
    <w:link w:val="QuoteChar"/>
    <w:uiPriority w:val="29"/>
    <w:semiHidden/>
    <w:rsid w:val="005F29FB"/>
    <w:pPr>
      <w:spacing w:before="200"/>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5F29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5F29FB"/>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5F29FB"/>
    <w:rPr>
      <w:i/>
      <w:iCs/>
      <w:color w:val="auto"/>
    </w:rPr>
  </w:style>
  <w:style w:type="character" w:styleId="IntenseEmphasis">
    <w:name w:val="Intense Emphasis"/>
    <w:basedOn w:val="DefaultParagraphFont"/>
    <w:uiPriority w:val="21"/>
    <w:semiHidden/>
    <w:rsid w:val="005F29FB"/>
    <w:rPr>
      <w:b/>
      <w:bCs/>
      <w:i/>
      <w:iCs/>
      <w:color w:val="auto"/>
    </w:rPr>
  </w:style>
  <w:style w:type="character" w:styleId="SubtleReference">
    <w:name w:val="Subtle Reference"/>
    <w:basedOn w:val="DefaultParagraphFont"/>
    <w:uiPriority w:val="31"/>
    <w:semiHidden/>
    <w:rsid w:val="005F29FB"/>
    <w:rPr>
      <w:smallCaps/>
      <w:color w:val="auto"/>
      <w:u w:val="single" w:color="7F7F7F" w:themeColor="text1" w:themeTint="80"/>
    </w:rPr>
  </w:style>
  <w:style w:type="character" w:styleId="IntenseReference">
    <w:name w:val="Intense Reference"/>
    <w:basedOn w:val="DefaultParagraphFont"/>
    <w:uiPriority w:val="32"/>
    <w:semiHidden/>
    <w:rsid w:val="005F29FB"/>
    <w:rPr>
      <w:b/>
      <w:bCs/>
      <w:smallCaps/>
      <w:color w:val="auto"/>
      <w:u w:val="single"/>
    </w:rPr>
  </w:style>
  <w:style w:type="character" w:styleId="BookTitle">
    <w:name w:val="Book Title"/>
    <w:basedOn w:val="DefaultParagraphFont"/>
    <w:uiPriority w:val="33"/>
    <w:semiHidden/>
    <w:rsid w:val="005F29FB"/>
    <w:rPr>
      <w:b/>
      <w:bCs/>
      <w:smallCaps/>
      <w:color w:val="auto"/>
    </w:rPr>
  </w:style>
  <w:style w:type="paragraph" w:styleId="TOCHeading">
    <w:name w:val="TOC Heading"/>
    <w:basedOn w:val="Heading1"/>
    <w:next w:val="Normal"/>
    <w:uiPriority w:val="39"/>
    <w:qFormat/>
    <w:rsid w:val="008213E2"/>
    <w:pPr>
      <w:outlineLvl w:val="9"/>
    </w:pPr>
  </w:style>
  <w:style w:type="paragraph" w:styleId="TOC1">
    <w:name w:val="toc 1"/>
    <w:basedOn w:val="Normal"/>
    <w:next w:val="Normal"/>
    <w:uiPriority w:val="39"/>
    <w:rsid w:val="00E513C9"/>
    <w:pPr>
      <w:tabs>
        <w:tab w:val="right" w:leader="dot" w:pos="9062"/>
      </w:tabs>
      <w:spacing w:after="260"/>
      <w:ind w:left="425" w:hanging="425"/>
    </w:pPr>
    <w:rPr>
      <w:noProof/>
      <w:sz w:val="26"/>
      <w:lang w:eastAsia="en-GB"/>
    </w:rPr>
  </w:style>
  <w:style w:type="paragraph" w:styleId="TOC2">
    <w:name w:val="toc 2"/>
    <w:basedOn w:val="Normal"/>
    <w:next w:val="Normal"/>
    <w:uiPriority w:val="39"/>
    <w:rsid w:val="00693ED8"/>
    <w:pPr>
      <w:tabs>
        <w:tab w:val="right" w:leader="dot" w:pos="9062"/>
      </w:tabs>
      <w:spacing w:after="100"/>
      <w:ind w:left="850" w:hanging="425"/>
    </w:pPr>
    <w:rPr>
      <w:noProof/>
    </w:rPr>
  </w:style>
  <w:style w:type="paragraph" w:styleId="TOC3">
    <w:name w:val="toc 3"/>
    <w:basedOn w:val="Normal"/>
    <w:next w:val="Normal"/>
    <w:uiPriority w:val="39"/>
    <w:rsid w:val="00693ED8"/>
    <w:pPr>
      <w:tabs>
        <w:tab w:val="right" w:leader="dot" w:pos="9062"/>
      </w:tabs>
      <w:spacing w:after="100"/>
      <w:ind w:left="1276" w:hanging="425"/>
    </w:pPr>
    <w:rPr>
      <w:noProof/>
    </w:rPr>
  </w:style>
  <w:style w:type="paragraph" w:styleId="TOC4">
    <w:name w:val="toc 4"/>
    <w:basedOn w:val="Normal"/>
    <w:next w:val="Normal"/>
    <w:uiPriority w:val="39"/>
    <w:semiHidden/>
    <w:rsid w:val="00972D16"/>
    <w:pPr>
      <w:spacing w:after="100"/>
      <w:ind w:left="1276"/>
    </w:pPr>
  </w:style>
  <w:style w:type="paragraph" w:styleId="TOC5">
    <w:name w:val="toc 5"/>
    <w:basedOn w:val="Normal"/>
    <w:next w:val="Normal"/>
    <w:uiPriority w:val="39"/>
    <w:semiHidden/>
    <w:rsid w:val="00972D16"/>
    <w:pPr>
      <w:spacing w:after="100"/>
      <w:ind w:left="1701"/>
    </w:pPr>
  </w:style>
  <w:style w:type="paragraph" w:styleId="TOC6">
    <w:name w:val="toc 6"/>
    <w:basedOn w:val="Normal"/>
    <w:next w:val="Normal"/>
    <w:uiPriority w:val="39"/>
    <w:semiHidden/>
    <w:rsid w:val="00972D16"/>
    <w:pPr>
      <w:spacing w:after="100"/>
      <w:ind w:left="2126"/>
    </w:pPr>
  </w:style>
  <w:style w:type="paragraph" w:styleId="TOC7">
    <w:name w:val="toc 7"/>
    <w:basedOn w:val="Normal"/>
    <w:next w:val="Normal"/>
    <w:uiPriority w:val="39"/>
    <w:semiHidden/>
    <w:rsid w:val="00972D16"/>
    <w:pPr>
      <w:spacing w:after="100"/>
      <w:ind w:left="2552"/>
    </w:pPr>
  </w:style>
  <w:style w:type="paragraph" w:styleId="TOC8">
    <w:name w:val="toc 8"/>
    <w:basedOn w:val="Normal"/>
    <w:next w:val="Normal"/>
    <w:uiPriority w:val="39"/>
    <w:semiHidden/>
    <w:rsid w:val="00972D16"/>
    <w:pPr>
      <w:spacing w:after="100"/>
      <w:ind w:left="2977"/>
    </w:pPr>
  </w:style>
  <w:style w:type="paragraph" w:styleId="TOC9">
    <w:name w:val="toc 9"/>
    <w:basedOn w:val="Normal"/>
    <w:next w:val="Normal"/>
    <w:uiPriority w:val="39"/>
    <w:semiHidden/>
    <w:rsid w:val="00972D16"/>
    <w:pPr>
      <w:spacing w:after="100"/>
      <w:ind w:left="3402"/>
    </w:pPr>
  </w:style>
  <w:style w:type="paragraph" w:styleId="Header">
    <w:name w:val="header"/>
    <w:basedOn w:val="Normal"/>
    <w:link w:val="HeaderChar"/>
    <w:uiPriority w:val="99"/>
    <w:rsid w:val="00ED6C6F"/>
    <w:pPr>
      <w:tabs>
        <w:tab w:val="center" w:pos="4536"/>
        <w:tab w:val="right" w:pos="9072"/>
      </w:tabs>
      <w:spacing w:after="0"/>
    </w:pPr>
  </w:style>
  <w:style w:type="character" w:customStyle="1" w:styleId="HeaderChar">
    <w:name w:val="Header Char"/>
    <w:basedOn w:val="DefaultParagraphFont"/>
    <w:link w:val="Header"/>
    <w:uiPriority w:val="99"/>
    <w:rsid w:val="00ED6C6F"/>
  </w:style>
  <w:style w:type="paragraph" w:styleId="Footer">
    <w:name w:val="footer"/>
    <w:basedOn w:val="Normal"/>
    <w:link w:val="FooterChar"/>
    <w:uiPriority w:val="99"/>
    <w:rsid w:val="00B51634"/>
    <w:pPr>
      <w:tabs>
        <w:tab w:val="center" w:pos="4536"/>
        <w:tab w:val="right" w:pos="9072"/>
      </w:tabs>
      <w:spacing w:after="0"/>
    </w:pPr>
    <w:rPr>
      <w:b/>
      <w:sz w:val="16"/>
    </w:rPr>
  </w:style>
  <w:style w:type="character" w:customStyle="1" w:styleId="FooterChar">
    <w:name w:val="Footer Char"/>
    <w:basedOn w:val="DefaultParagraphFont"/>
    <w:link w:val="Footer"/>
    <w:uiPriority w:val="99"/>
    <w:rsid w:val="00B51634"/>
    <w:rPr>
      <w:b/>
      <w:sz w:val="16"/>
    </w:rPr>
  </w:style>
  <w:style w:type="paragraph" w:styleId="ListBullet">
    <w:name w:val="List Bullet"/>
    <w:basedOn w:val="Normal"/>
    <w:uiPriority w:val="24"/>
    <w:qFormat/>
    <w:rsid w:val="00942551"/>
    <w:pPr>
      <w:numPr>
        <w:numId w:val="30"/>
      </w:numPr>
      <w:spacing w:after="80" w:line="288" w:lineRule="auto"/>
      <w:contextualSpacing/>
    </w:pPr>
    <w:rPr>
      <w:sz w:val="19"/>
      <w:szCs w:val="19"/>
    </w:rPr>
  </w:style>
  <w:style w:type="paragraph" w:styleId="ListNumber">
    <w:name w:val="List Number"/>
    <w:basedOn w:val="Normal"/>
    <w:uiPriority w:val="25"/>
    <w:qFormat/>
    <w:rsid w:val="00942551"/>
    <w:pPr>
      <w:numPr>
        <w:numId w:val="25"/>
      </w:numPr>
      <w:spacing w:after="80" w:line="288" w:lineRule="auto"/>
      <w:contextualSpacing/>
    </w:pPr>
    <w:rPr>
      <w:sz w:val="19"/>
      <w:szCs w:val="19"/>
    </w:rPr>
  </w:style>
  <w:style w:type="paragraph" w:styleId="FootnoteText">
    <w:name w:val="footnote text"/>
    <w:basedOn w:val="Normal"/>
    <w:link w:val="FootnoteTextChar"/>
    <w:uiPriority w:val="99"/>
    <w:rsid w:val="00783074"/>
    <w:pPr>
      <w:spacing w:after="0"/>
      <w:ind w:left="142" w:hanging="142"/>
    </w:pPr>
    <w:rPr>
      <w:sz w:val="16"/>
    </w:rPr>
  </w:style>
  <w:style w:type="character" w:customStyle="1" w:styleId="FootnoteTextChar">
    <w:name w:val="Footnote Text Char"/>
    <w:basedOn w:val="DefaultParagraphFont"/>
    <w:link w:val="FootnoteText"/>
    <w:uiPriority w:val="99"/>
    <w:rsid w:val="00783074"/>
    <w:rPr>
      <w:sz w:val="16"/>
      <w:szCs w:val="20"/>
    </w:rPr>
  </w:style>
  <w:style w:type="character" w:styleId="FootnoteReference">
    <w:name w:val="footnote reference"/>
    <w:basedOn w:val="DefaultParagraphFont"/>
    <w:uiPriority w:val="99"/>
    <w:rsid w:val="00AD5832"/>
    <w:rPr>
      <w:vertAlign w:val="superscript"/>
    </w:rPr>
  </w:style>
  <w:style w:type="table" w:styleId="TableGrid">
    <w:name w:val="Table Grid"/>
    <w:basedOn w:val="TableNormal"/>
    <w:uiPriority w:val="39"/>
    <w:rsid w:val="009760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03E7F"/>
    <w:rPr>
      <w:color w:val="3F6BB2" w:themeColor="accent6" w:themeShade="BF"/>
      <w:u w:val="none"/>
    </w:rPr>
  </w:style>
  <w:style w:type="paragraph" w:styleId="ListParagraph">
    <w:name w:val="List Paragraph"/>
    <w:basedOn w:val="Normal"/>
    <w:uiPriority w:val="34"/>
    <w:semiHidden/>
    <w:rsid w:val="00481060"/>
    <w:pPr>
      <w:ind w:left="720"/>
      <w:contextualSpacing/>
    </w:pPr>
  </w:style>
  <w:style w:type="paragraph" w:styleId="ListNumber2">
    <w:name w:val="List Number 2"/>
    <w:basedOn w:val="ListNumber"/>
    <w:uiPriority w:val="25"/>
    <w:rsid w:val="00942551"/>
    <w:pPr>
      <w:numPr>
        <w:ilvl w:val="1"/>
      </w:numPr>
    </w:pPr>
  </w:style>
  <w:style w:type="paragraph" w:styleId="ListNumber3">
    <w:name w:val="List Number 3"/>
    <w:basedOn w:val="ListNumber2"/>
    <w:uiPriority w:val="25"/>
    <w:rsid w:val="00942551"/>
    <w:pPr>
      <w:numPr>
        <w:ilvl w:val="2"/>
      </w:numPr>
    </w:pPr>
  </w:style>
  <w:style w:type="paragraph" w:styleId="ListNumber4">
    <w:name w:val="List Number 4"/>
    <w:basedOn w:val="ListNumber3"/>
    <w:uiPriority w:val="25"/>
    <w:semiHidden/>
    <w:rsid w:val="00942551"/>
    <w:pPr>
      <w:numPr>
        <w:ilvl w:val="3"/>
      </w:numPr>
    </w:pPr>
  </w:style>
  <w:style w:type="paragraph" w:styleId="ListNumber5">
    <w:name w:val="List Number 5"/>
    <w:basedOn w:val="ListNumber4"/>
    <w:uiPriority w:val="25"/>
    <w:semiHidden/>
    <w:rsid w:val="00942551"/>
    <w:pPr>
      <w:numPr>
        <w:ilvl w:val="4"/>
      </w:numPr>
    </w:pPr>
  </w:style>
  <w:style w:type="paragraph" w:styleId="ListBullet2">
    <w:name w:val="List Bullet 2"/>
    <w:basedOn w:val="ListBullet"/>
    <w:uiPriority w:val="24"/>
    <w:rsid w:val="00942551"/>
    <w:pPr>
      <w:numPr>
        <w:ilvl w:val="1"/>
      </w:numPr>
    </w:pPr>
  </w:style>
  <w:style w:type="paragraph" w:styleId="ListBullet3">
    <w:name w:val="List Bullet 3"/>
    <w:basedOn w:val="ListBullet2"/>
    <w:uiPriority w:val="24"/>
    <w:rsid w:val="00942551"/>
    <w:pPr>
      <w:numPr>
        <w:ilvl w:val="2"/>
      </w:numPr>
    </w:pPr>
  </w:style>
  <w:style w:type="paragraph" w:styleId="ListBullet4">
    <w:name w:val="List Bullet 4"/>
    <w:basedOn w:val="ListBullet3"/>
    <w:uiPriority w:val="24"/>
    <w:semiHidden/>
    <w:rsid w:val="00942551"/>
    <w:pPr>
      <w:numPr>
        <w:ilvl w:val="3"/>
      </w:numPr>
    </w:pPr>
  </w:style>
  <w:style w:type="paragraph" w:styleId="ListBullet5">
    <w:name w:val="List Bullet 5"/>
    <w:basedOn w:val="ListBullet4"/>
    <w:uiPriority w:val="24"/>
    <w:semiHidden/>
    <w:rsid w:val="00942551"/>
    <w:pPr>
      <w:numPr>
        <w:ilvl w:val="4"/>
      </w:numPr>
    </w:pPr>
  </w:style>
  <w:style w:type="paragraph" w:styleId="EndnoteText">
    <w:name w:val="endnote text"/>
    <w:basedOn w:val="Normal"/>
    <w:link w:val="EndnoteTextChar"/>
    <w:uiPriority w:val="99"/>
    <w:unhideWhenUsed/>
    <w:rsid w:val="00783074"/>
    <w:pPr>
      <w:spacing w:after="0"/>
      <w:ind w:left="142" w:hanging="142"/>
    </w:pPr>
    <w:rPr>
      <w:sz w:val="16"/>
    </w:rPr>
  </w:style>
  <w:style w:type="character" w:customStyle="1" w:styleId="EndnoteTextChar">
    <w:name w:val="Endnote Text Char"/>
    <w:basedOn w:val="DefaultParagraphFont"/>
    <w:link w:val="EndnoteText"/>
    <w:uiPriority w:val="99"/>
    <w:rsid w:val="00783074"/>
    <w:rPr>
      <w:sz w:val="16"/>
      <w:szCs w:val="20"/>
    </w:rPr>
  </w:style>
  <w:style w:type="character" w:styleId="EndnoteReference">
    <w:name w:val="endnote reference"/>
    <w:basedOn w:val="DefaultParagraphFon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ceholderText">
    <w:name w:val="Placeholder Text"/>
    <w:basedOn w:val="DefaultParagraphFon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Heading1"/>
    <w:next w:val="Normal"/>
    <w:uiPriority w:val="19"/>
    <w:semiHidden/>
    <w:qFormat/>
    <w:rsid w:val="00AA5C9A"/>
    <w:pPr>
      <w:numPr>
        <w:numId w:val="14"/>
      </w:numPr>
    </w:pPr>
  </w:style>
  <w:style w:type="paragraph" w:customStyle="1" w:styleId="Numreradrubrik2">
    <w:name w:val="Numrerad rubrik 2"/>
    <w:basedOn w:val="Heading2"/>
    <w:next w:val="Normal"/>
    <w:uiPriority w:val="19"/>
    <w:semiHidden/>
    <w:qFormat/>
    <w:rsid w:val="0027150D"/>
    <w:pPr>
      <w:numPr>
        <w:ilvl w:val="1"/>
        <w:numId w:val="14"/>
      </w:numPr>
      <w:spacing w:before="80" w:after="40" w:line="228" w:lineRule="auto"/>
    </w:pPr>
    <w:rPr>
      <w:b w:val="0"/>
      <w:sz w:val="24"/>
    </w:rPr>
  </w:style>
  <w:style w:type="paragraph" w:customStyle="1" w:styleId="Numreradrubrik3">
    <w:name w:val="Numrerad rubrik 3"/>
    <w:basedOn w:val="Heading3"/>
    <w:next w:val="Normal"/>
    <w:uiPriority w:val="19"/>
    <w:semiHidden/>
    <w:qFormat/>
    <w:rsid w:val="00AA5C9A"/>
    <w:pPr>
      <w:numPr>
        <w:ilvl w:val="2"/>
        <w:numId w:val="14"/>
      </w:numPr>
    </w:pPr>
  </w:style>
  <w:style w:type="paragraph" w:customStyle="1" w:styleId="Numreradrubrik4">
    <w:name w:val="Numrerad rubrik 4"/>
    <w:basedOn w:val="Heading4"/>
    <w:next w:val="Normal"/>
    <w:uiPriority w:val="19"/>
    <w:semiHidden/>
    <w:qFormat/>
    <w:rsid w:val="00AA5C9A"/>
    <w:pPr>
      <w:numPr>
        <w:ilvl w:val="3"/>
        <w:numId w:val="14"/>
      </w:numPr>
    </w:pPr>
  </w:style>
  <w:style w:type="paragraph" w:styleId="Closing">
    <w:name w:val="Closing"/>
    <w:basedOn w:val="Normal"/>
    <w:next w:val="Normal"/>
    <w:link w:val="ClosingChar"/>
    <w:uiPriority w:val="99"/>
    <w:rsid w:val="00A87B49"/>
    <w:pPr>
      <w:spacing w:after="800"/>
      <w:contextualSpacing/>
    </w:pPr>
    <w:rPr>
      <w:lang w:val="en-GB"/>
    </w:rPr>
  </w:style>
  <w:style w:type="character" w:customStyle="1" w:styleId="ClosingChar">
    <w:name w:val="Closing Char"/>
    <w:basedOn w:val="DefaultParagraphFont"/>
    <w:link w:val="Closing"/>
    <w:uiPriority w:val="99"/>
    <w:rsid w:val="00A87B49"/>
    <w:rPr>
      <w:lang w:val="en-GB"/>
    </w:rPr>
  </w:style>
  <w:style w:type="paragraph" w:styleId="Salutation">
    <w:name w:val="Salutation"/>
    <w:basedOn w:val="Normal"/>
    <w:next w:val="Normal"/>
    <w:link w:val="SalutationChar"/>
    <w:uiPriority w:val="36"/>
    <w:rsid w:val="000C0B21"/>
    <w:rPr>
      <w:i/>
      <w:sz w:val="22"/>
    </w:rPr>
  </w:style>
  <w:style w:type="character" w:customStyle="1" w:styleId="SalutationChar">
    <w:name w:val="Salutation Char"/>
    <w:basedOn w:val="DefaultParagraphFont"/>
    <w:link w:val="Salutation"/>
    <w:uiPriority w:val="36"/>
    <w:rsid w:val="000C0B21"/>
    <w:rPr>
      <w:i/>
      <w:sz w:val="22"/>
    </w:rPr>
  </w:style>
  <w:style w:type="table" w:styleId="GridTable2-Accent1">
    <w:name w:val="Grid Table 2 Accent 1"/>
    <w:basedOn w:val="TableNormal"/>
    <w:uiPriority w:val="47"/>
    <w:rsid w:val="00E15E0C"/>
    <w:pPr>
      <w:spacing w:after="0"/>
    </w:pPr>
    <w:tblPr>
      <w:tblStyleRowBandSize w:val="1"/>
      <w:tblStyleColBandSize w:val="1"/>
      <w:tblBorders>
        <w:top w:val="single" w:sz="2" w:space="0" w:color="417FD0" w:themeColor="accent1" w:themeTint="99"/>
        <w:bottom w:val="single" w:sz="2" w:space="0" w:color="417FD0" w:themeColor="accent1" w:themeTint="99"/>
        <w:insideH w:val="single" w:sz="2" w:space="0" w:color="417FD0" w:themeColor="accent1" w:themeTint="99"/>
        <w:insideV w:val="single" w:sz="2" w:space="0" w:color="417FD0" w:themeColor="accent1" w:themeTint="99"/>
      </w:tblBorders>
    </w:tblPr>
    <w:tblStylePr w:type="firstRow">
      <w:rPr>
        <w:b/>
        <w:bCs/>
      </w:rPr>
      <w:tblPr/>
      <w:tcPr>
        <w:tcBorders>
          <w:top w:val="nil"/>
          <w:bottom w:val="single" w:sz="12" w:space="0" w:color="417FD0" w:themeColor="accent1" w:themeTint="99"/>
          <w:insideH w:val="nil"/>
          <w:insideV w:val="nil"/>
        </w:tcBorders>
        <w:shd w:val="clear" w:color="auto" w:fill="FFFFFF" w:themeFill="background1"/>
      </w:tcPr>
    </w:tblStylePr>
    <w:tblStylePr w:type="lastRow">
      <w:rPr>
        <w:b/>
        <w:bCs/>
      </w:rPr>
      <w:tblPr/>
      <w:tcPr>
        <w:tcBorders>
          <w:top w:val="double" w:sz="2" w:space="0" w:color="417FD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D4EF" w:themeFill="accent1" w:themeFillTint="33"/>
      </w:tcPr>
    </w:tblStylePr>
    <w:tblStylePr w:type="band1Horz">
      <w:tblPr/>
      <w:tcPr>
        <w:shd w:val="clear" w:color="auto" w:fill="BFD4EF" w:themeFill="accent1" w:themeFillTint="33"/>
      </w:tcPr>
    </w:tblStylePr>
  </w:style>
  <w:style w:type="table" w:styleId="GridTable2-Accent2">
    <w:name w:val="Grid Table 2 Accent 2"/>
    <w:basedOn w:val="TableNormal"/>
    <w:uiPriority w:val="47"/>
    <w:rsid w:val="00E15E0C"/>
    <w:pPr>
      <w:spacing w:after="0"/>
    </w:pPr>
    <w:tblPr>
      <w:tblStyleRowBandSize w:val="1"/>
      <w:tblStyleColBandSize w:val="1"/>
      <w:tblBorders>
        <w:top w:val="single" w:sz="2" w:space="0" w:color="84A38B" w:themeColor="accent2" w:themeTint="99"/>
        <w:bottom w:val="single" w:sz="2" w:space="0" w:color="84A38B" w:themeColor="accent2" w:themeTint="99"/>
        <w:insideH w:val="single" w:sz="2" w:space="0" w:color="84A38B" w:themeColor="accent2" w:themeTint="99"/>
        <w:insideV w:val="single" w:sz="2" w:space="0" w:color="84A38B" w:themeColor="accent2" w:themeTint="99"/>
      </w:tblBorders>
    </w:tblPr>
    <w:tblStylePr w:type="firstRow">
      <w:rPr>
        <w:b/>
        <w:bCs/>
      </w:rPr>
      <w:tblPr/>
      <w:tcPr>
        <w:tcBorders>
          <w:top w:val="nil"/>
          <w:bottom w:val="single" w:sz="12" w:space="0" w:color="84A38B" w:themeColor="accent2" w:themeTint="99"/>
          <w:insideH w:val="nil"/>
          <w:insideV w:val="nil"/>
        </w:tcBorders>
        <w:shd w:val="clear" w:color="auto" w:fill="FFFFFF" w:themeFill="background1"/>
      </w:tcPr>
    </w:tblStylePr>
    <w:tblStylePr w:type="lastRow">
      <w:rPr>
        <w:b/>
        <w:bCs/>
      </w:rPr>
      <w:tblPr/>
      <w:tcPr>
        <w:tcBorders>
          <w:top w:val="double" w:sz="2" w:space="0" w:color="84A3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0D8" w:themeFill="accent2" w:themeFillTint="33"/>
      </w:tcPr>
    </w:tblStylePr>
    <w:tblStylePr w:type="band1Horz">
      <w:tblPr/>
      <w:tcPr>
        <w:shd w:val="clear" w:color="auto" w:fill="D6E0D8" w:themeFill="accent2" w:themeFillTint="33"/>
      </w:tcPr>
    </w:tblStylePr>
  </w:style>
  <w:style w:type="table" w:styleId="GridTable3-Accent6">
    <w:name w:val="Grid Table 3 Accent 6"/>
    <w:basedOn w:val="TableNormal"/>
    <w:uiPriority w:val="48"/>
    <w:rsid w:val="00F62DA5"/>
    <w:pPr>
      <w:spacing w:after="0"/>
    </w:pPr>
    <w:tblPr>
      <w:tblStyleRowBandSize w:val="1"/>
      <w:tblStyleColBandSize w:val="1"/>
      <w:tblBorders>
        <w:top w:val="single" w:sz="4" w:space="0" w:color="ABC0E1" w:themeColor="accent6" w:themeTint="99"/>
        <w:left w:val="single" w:sz="4" w:space="0" w:color="ABC0E1" w:themeColor="accent6" w:themeTint="99"/>
        <w:bottom w:val="single" w:sz="4" w:space="0" w:color="ABC0E1" w:themeColor="accent6" w:themeTint="99"/>
        <w:right w:val="single" w:sz="4" w:space="0" w:color="ABC0E1" w:themeColor="accent6" w:themeTint="99"/>
        <w:insideH w:val="single" w:sz="4" w:space="0" w:color="ABC0E1" w:themeColor="accent6" w:themeTint="99"/>
        <w:insideV w:val="single" w:sz="4" w:space="0" w:color="ABC0E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AF5" w:themeFill="accent6" w:themeFillTint="33"/>
      </w:tcPr>
    </w:tblStylePr>
    <w:tblStylePr w:type="band1Horz">
      <w:tblPr/>
      <w:tcPr>
        <w:shd w:val="clear" w:color="auto" w:fill="E3EAF5" w:themeFill="accent6" w:themeFillTint="33"/>
      </w:tcPr>
    </w:tblStylePr>
    <w:tblStylePr w:type="neCell">
      <w:tblPr/>
      <w:tcPr>
        <w:tcBorders>
          <w:bottom w:val="single" w:sz="4" w:space="0" w:color="ABC0E1" w:themeColor="accent6" w:themeTint="99"/>
        </w:tcBorders>
      </w:tcPr>
    </w:tblStylePr>
    <w:tblStylePr w:type="nwCell">
      <w:tblPr/>
      <w:tcPr>
        <w:tcBorders>
          <w:bottom w:val="single" w:sz="4" w:space="0" w:color="ABC0E1" w:themeColor="accent6" w:themeTint="99"/>
        </w:tcBorders>
      </w:tcPr>
    </w:tblStylePr>
    <w:tblStylePr w:type="seCell">
      <w:tblPr/>
      <w:tcPr>
        <w:tcBorders>
          <w:top w:val="single" w:sz="4" w:space="0" w:color="ABC0E1" w:themeColor="accent6" w:themeTint="99"/>
        </w:tcBorders>
      </w:tcPr>
    </w:tblStylePr>
    <w:tblStylePr w:type="swCell">
      <w:tblPr/>
      <w:tcPr>
        <w:tcBorders>
          <w:top w:val="single" w:sz="4" w:space="0" w:color="ABC0E1" w:themeColor="accent6" w:themeTint="99"/>
        </w:tcBorders>
      </w:tcPr>
    </w:tblStylePr>
  </w:style>
  <w:style w:type="table" w:styleId="GridTable4-Accent1">
    <w:name w:val="Grid Table 4 Accent 1"/>
    <w:basedOn w:val="TableNormal"/>
    <w:uiPriority w:val="49"/>
    <w:rsid w:val="00F62DA5"/>
    <w:pPr>
      <w:spacing w:after="0"/>
    </w:pPr>
    <w:tblPr>
      <w:tblStyleRowBandSize w:val="1"/>
      <w:tblStyleColBandSize w:val="1"/>
      <w:tblBorders>
        <w:top w:val="single" w:sz="4" w:space="0" w:color="417FD0" w:themeColor="accent1" w:themeTint="99"/>
        <w:left w:val="single" w:sz="4" w:space="0" w:color="417FD0" w:themeColor="accent1" w:themeTint="99"/>
        <w:bottom w:val="single" w:sz="4" w:space="0" w:color="417FD0" w:themeColor="accent1" w:themeTint="99"/>
        <w:right w:val="single" w:sz="4" w:space="0" w:color="417FD0" w:themeColor="accent1" w:themeTint="99"/>
        <w:insideH w:val="single" w:sz="4" w:space="0" w:color="417FD0" w:themeColor="accent1" w:themeTint="99"/>
        <w:insideV w:val="single" w:sz="4" w:space="0" w:color="417FD0" w:themeColor="accent1" w:themeTint="99"/>
      </w:tblBorders>
    </w:tblPr>
    <w:tblStylePr w:type="firstRow">
      <w:rPr>
        <w:b/>
        <w:bCs/>
        <w:color w:val="FFFFFF" w:themeColor="background1"/>
      </w:rPr>
      <w:tblPr/>
      <w:tcPr>
        <w:tcBorders>
          <w:top w:val="single" w:sz="4" w:space="0" w:color="17365D" w:themeColor="accent1"/>
          <w:left w:val="single" w:sz="4" w:space="0" w:color="17365D" w:themeColor="accent1"/>
          <w:bottom w:val="single" w:sz="4" w:space="0" w:color="17365D" w:themeColor="accent1"/>
          <w:right w:val="single" w:sz="4" w:space="0" w:color="17365D" w:themeColor="accent1"/>
          <w:insideH w:val="nil"/>
          <w:insideV w:val="nil"/>
        </w:tcBorders>
        <w:shd w:val="clear" w:color="auto" w:fill="17365D" w:themeFill="accent1"/>
      </w:tcPr>
    </w:tblStylePr>
    <w:tblStylePr w:type="lastRow">
      <w:rPr>
        <w:b/>
        <w:bCs/>
      </w:rPr>
      <w:tblPr/>
      <w:tcPr>
        <w:tcBorders>
          <w:top w:val="double" w:sz="4" w:space="0" w:color="17365D" w:themeColor="accent1"/>
        </w:tcBorders>
      </w:tcPr>
    </w:tblStylePr>
    <w:tblStylePr w:type="firstCol">
      <w:rPr>
        <w:b/>
        <w:bCs/>
      </w:rPr>
    </w:tblStylePr>
    <w:tblStylePr w:type="lastCol">
      <w:rPr>
        <w:b/>
        <w:bCs/>
      </w:rPr>
    </w:tblStylePr>
    <w:tblStylePr w:type="band1Vert">
      <w:tblPr/>
      <w:tcPr>
        <w:shd w:val="clear" w:color="auto" w:fill="BFD4EF" w:themeFill="accent1" w:themeFillTint="33"/>
      </w:tcPr>
    </w:tblStylePr>
    <w:tblStylePr w:type="band1Horz">
      <w:tblPr/>
      <w:tcPr>
        <w:shd w:val="clear" w:color="auto" w:fill="BFD4EF" w:themeFill="accent1" w:themeFillTint="33"/>
      </w:tcPr>
    </w:tblStylePr>
  </w:style>
  <w:style w:type="table" w:styleId="ListTable1Light-Accent1">
    <w:name w:val="List Table 1 Light Accent 1"/>
    <w:basedOn w:val="TableNormal"/>
    <w:uiPriority w:val="46"/>
    <w:rsid w:val="00F62DA5"/>
    <w:pPr>
      <w:spacing w:after="0"/>
    </w:pPr>
    <w:tblPr>
      <w:tblStyleRowBandSize w:val="1"/>
      <w:tblStyleColBandSize w:val="1"/>
    </w:tblPr>
    <w:tblStylePr w:type="firstRow">
      <w:rPr>
        <w:b/>
        <w:bCs/>
      </w:rPr>
      <w:tblPr/>
      <w:tcPr>
        <w:tcBorders>
          <w:bottom w:val="single" w:sz="4" w:space="0" w:color="417FD0" w:themeColor="accent1" w:themeTint="99"/>
        </w:tcBorders>
      </w:tcPr>
    </w:tblStylePr>
    <w:tblStylePr w:type="lastRow">
      <w:rPr>
        <w:b/>
        <w:bCs/>
      </w:rPr>
      <w:tblPr/>
      <w:tcPr>
        <w:tcBorders>
          <w:top w:val="single" w:sz="4" w:space="0" w:color="417FD0" w:themeColor="accent1" w:themeTint="99"/>
        </w:tcBorders>
      </w:tcPr>
    </w:tblStylePr>
    <w:tblStylePr w:type="firstCol">
      <w:rPr>
        <w:b/>
        <w:bCs/>
      </w:rPr>
    </w:tblStylePr>
    <w:tblStylePr w:type="lastCol">
      <w:rPr>
        <w:b/>
        <w:bCs/>
      </w:rPr>
    </w:tblStylePr>
    <w:tblStylePr w:type="band1Vert">
      <w:tblPr/>
      <w:tcPr>
        <w:shd w:val="clear" w:color="auto" w:fill="BFD4EF" w:themeFill="accent1" w:themeFillTint="33"/>
      </w:tcPr>
    </w:tblStylePr>
    <w:tblStylePr w:type="band1Horz">
      <w:tblPr/>
      <w:tcPr>
        <w:shd w:val="clear" w:color="auto" w:fill="BFD4EF" w:themeFill="accent1" w:themeFillTint="33"/>
      </w:tcPr>
    </w:tblStylePr>
  </w:style>
  <w:style w:type="table" w:styleId="ListTable3-Accent1">
    <w:name w:val="List Table 3 Accent 1"/>
    <w:basedOn w:val="TableNormal"/>
    <w:uiPriority w:val="48"/>
    <w:rsid w:val="00E052C0"/>
    <w:pPr>
      <w:spacing w:after="0"/>
    </w:pPr>
    <w:tblPr>
      <w:tblStyleRowBandSize w:val="1"/>
      <w:tblStyleColBandSize w:val="1"/>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blBorders>
    </w:tblPr>
    <w:tblStylePr w:type="firstRow">
      <w:rPr>
        <w:b/>
        <w:bCs/>
        <w:color w:val="FFFFFF" w:themeColor="background1"/>
      </w:rPr>
      <w:tblPr/>
      <w:tcPr>
        <w:tcBorders>
          <w:top w:val="single" w:sz="4" w:space="0" w:color="17365D" w:themeColor="accent1"/>
          <w:left w:val="single" w:sz="4" w:space="0" w:color="17365D" w:themeColor="accent1"/>
          <w:bottom w:val="single" w:sz="4" w:space="0" w:color="17365D" w:themeColor="accent1"/>
          <w:right w:val="single" w:sz="4" w:space="0" w:color="17365D" w:themeColor="accent1"/>
          <w:insideH w:val="single" w:sz="4" w:space="0" w:color="17365D" w:themeColor="accent1"/>
          <w:insideV w:val="single" w:sz="4" w:space="0" w:color="17365D" w:themeColor="accent1"/>
          <w:tl2br w:val="nil"/>
          <w:tr2bl w:val="nil"/>
        </w:tcBorders>
        <w:shd w:val="clear" w:color="auto" w:fill="17365D" w:themeFill="accent1"/>
      </w:tcPr>
    </w:tblStylePr>
    <w:tblStylePr w:type="lastRow">
      <w:rPr>
        <w:b/>
        <w:bCs/>
      </w:rPr>
      <w:tblPr/>
      <w:tcPr>
        <w:tcBorders>
          <w:top w:val="double" w:sz="4" w:space="0" w:color="1736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365D" w:themeColor="accent1"/>
          <w:right w:val="single" w:sz="4" w:space="0" w:color="17365D" w:themeColor="accent1"/>
        </w:tcBorders>
      </w:tcPr>
    </w:tblStylePr>
    <w:tblStylePr w:type="band1Horz">
      <w:tblPr/>
      <w:tcPr>
        <w:tcBorders>
          <w:top w:val="single" w:sz="4" w:space="0" w:color="17365D" w:themeColor="accent1"/>
          <w:bottom w:val="single" w:sz="4" w:space="0" w:color="1736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365D" w:themeColor="accent1"/>
          <w:left w:val="nil"/>
        </w:tcBorders>
      </w:tcPr>
    </w:tblStylePr>
    <w:tblStylePr w:type="swCell">
      <w:tblPr/>
      <w:tcPr>
        <w:tcBorders>
          <w:top w:val="double" w:sz="4" w:space="0" w:color="17365D" w:themeColor="accent1"/>
          <w:right w:val="nil"/>
        </w:tcBorders>
      </w:tcPr>
    </w:tblStylePr>
  </w:style>
  <w:style w:type="character" w:styleId="FollowedHyperlink">
    <w:name w:val="FollowedHyperlink"/>
    <w:basedOn w:val="DefaultParagraphFont"/>
    <w:uiPriority w:val="98"/>
    <w:rsid w:val="00E03E7F"/>
    <w:rPr>
      <w:color w:val="3F6BB2" w:themeColor="accent6" w:themeShade="BF"/>
      <w:u w:val="none"/>
    </w:rPr>
  </w:style>
  <w:style w:type="character" w:customStyle="1" w:styleId="UnresolvedMention1">
    <w:name w:val="Unresolved Mention1"/>
    <w:basedOn w:val="DefaultParagraphFont"/>
    <w:uiPriority w:val="99"/>
    <w:semiHidden/>
    <w:unhideWhenUsed/>
    <w:rsid w:val="00E03E7F"/>
    <w:rPr>
      <w:color w:val="605E5C"/>
      <w:shd w:val="clear" w:color="auto" w:fill="E1DFDD"/>
    </w:rPr>
  </w:style>
  <w:style w:type="paragraph" w:customStyle="1" w:styleId="Allmntindrag">
    <w:name w:val="Allmänt indrag"/>
    <w:basedOn w:val="Normal"/>
    <w:next w:val="Normal"/>
    <w:uiPriority w:val="21"/>
    <w:qFormat/>
    <w:rsid w:val="00EC1F26"/>
    <w:pPr>
      <w:ind w:left="284"/>
    </w:pPr>
  </w:style>
  <w:style w:type="table" w:customStyle="1" w:styleId="Cliens">
    <w:name w:val="Cliens"/>
    <w:basedOn w:val="TableNormal"/>
    <w:uiPriority w:val="99"/>
    <w:rsid w:val="002C4754"/>
    <w:pPr>
      <w:spacing w:after="0"/>
      <w:jc w:val="center"/>
    </w:pPr>
    <w:tblPr>
      <w:tblStyleRowBandSize w:val="1"/>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
    <w:tcPr>
      <w:shd w:val="clear" w:color="auto" w:fill="auto"/>
      <w:vAlign w:val="center"/>
    </w:tcPr>
    <w:tblStylePr w:type="firstRow">
      <w:pPr>
        <w:jc w:val="center"/>
      </w:pPr>
      <w:rPr>
        <w:b w:val="0"/>
      </w:rPr>
      <w:tblPr/>
      <w:tcPr>
        <w:shd w:val="clear" w:color="auto" w:fill="17365D" w:themeFill="accent1"/>
      </w:tcPr>
    </w:tblStylePr>
    <w:tblStylePr w:type="lastRow">
      <w:rPr>
        <w:b/>
      </w:rPr>
    </w:tblStylePr>
    <w:tblStylePr w:type="firstCol">
      <w:pPr>
        <w:jc w:val="left"/>
      </w:pPr>
    </w:tblStylePr>
    <w:tblStylePr w:type="band1Horz">
      <w:tblPr/>
      <w:tcPr>
        <w:shd w:val="clear" w:color="auto" w:fill="F2F2F2" w:themeFill="background1" w:themeFillShade="F2"/>
      </w:tcPr>
    </w:tblStylePr>
  </w:style>
  <w:style w:type="paragraph" w:customStyle="1" w:styleId="Tabelltext">
    <w:name w:val="Tabelltext"/>
    <w:basedOn w:val="Normal"/>
    <w:uiPriority w:val="38"/>
    <w:qFormat/>
    <w:rsid w:val="00055A26"/>
    <w:pPr>
      <w:spacing w:after="40"/>
    </w:pPr>
  </w:style>
  <w:style w:type="paragraph" w:customStyle="1" w:styleId="Tabellrubrik">
    <w:name w:val="Tabellrubrik"/>
    <w:basedOn w:val="Normal"/>
    <w:uiPriority w:val="37"/>
    <w:qFormat/>
    <w:rsid w:val="0027150D"/>
    <w:pPr>
      <w:spacing w:after="40"/>
    </w:pPr>
    <w:rPr>
      <w:b/>
      <w:bCs/>
      <w:color w:val="FFFFFF" w:themeColor="background1"/>
      <w:spacing w:val="8"/>
    </w:rPr>
  </w:style>
  <w:style w:type="paragraph" w:customStyle="1" w:styleId="Namn">
    <w:name w:val="Namn"/>
    <w:basedOn w:val="Normal"/>
    <w:next w:val="Normal"/>
    <w:uiPriority w:val="99"/>
    <w:rsid w:val="002F2A9B"/>
    <w:pPr>
      <w:spacing w:after="0"/>
      <w:contextualSpacing/>
      <w:jc w:val="center"/>
    </w:pPr>
    <w:rPr>
      <w:caps/>
      <w:color w:val="17365D" w:themeColor="accent1"/>
      <w:sz w:val="14"/>
    </w:rPr>
  </w:style>
  <w:style w:type="paragraph" w:customStyle="1" w:styleId="Frvaltningsberttelse">
    <w:name w:val="Förvaltningsberättelse"/>
    <w:basedOn w:val="Heading2"/>
    <w:next w:val="Normal"/>
    <w:semiHidden/>
    <w:qFormat/>
    <w:rsid w:val="00D85B0E"/>
    <w:pPr>
      <w:outlineLvl w:val="9"/>
    </w:pPr>
    <w:rPr>
      <w:caps/>
    </w:rPr>
  </w:style>
  <w:style w:type="paragraph" w:customStyle="1" w:styleId="Kapitelnummer">
    <w:name w:val="Kapitelnummer"/>
    <w:basedOn w:val="Normal"/>
    <w:next w:val="Normal"/>
    <w:semiHidden/>
    <w:qFormat/>
    <w:rsid w:val="00A40CF4"/>
    <w:pPr>
      <w:jc w:val="center"/>
    </w:pPr>
    <w:rPr>
      <w:color w:val="17365D" w:themeColor="accent1"/>
      <w:sz w:val="180"/>
      <w:szCs w:val="180"/>
    </w:rPr>
  </w:style>
  <w:style w:type="paragraph" w:customStyle="1" w:styleId="Rubrikrkningar">
    <w:name w:val="Rubrik räkningar"/>
    <w:basedOn w:val="Heading2"/>
    <w:next w:val="Normal"/>
    <w:semiHidden/>
    <w:qFormat/>
    <w:rsid w:val="000F1222"/>
    <w:pPr>
      <w:spacing w:after="480"/>
    </w:pPr>
    <w:rPr>
      <w:color w:val="17365D" w:themeColor="accent1"/>
      <w:sz w:val="40"/>
      <w:szCs w:val="44"/>
    </w:rPr>
  </w:style>
  <w:style w:type="table" w:customStyle="1" w:styleId="Tabellrutnt1">
    <w:name w:val="Tabellrutnät1"/>
    <w:basedOn w:val="TableNormal"/>
    <w:next w:val="TableGrid"/>
    <w:uiPriority w:val="39"/>
    <w:rsid w:val="00E2398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790"/>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E6790"/>
    <w:rPr>
      <w:rFonts w:ascii="Segoe UI" w:hAnsi="Segoe UI" w:cs="Segoe UI"/>
    </w:rPr>
  </w:style>
  <w:style w:type="character" w:customStyle="1" w:styleId="fontstyle01">
    <w:name w:val="fontstyle01"/>
    <w:basedOn w:val="DefaultParagraphFont"/>
    <w:rsid w:val="00440343"/>
    <w:rPr>
      <w:rFonts w:ascii="Futura-Light" w:hAnsi="Futura-Light" w:hint="default"/>
      <w:b w:val="0"/>
      <w:bCs w:val="0"/>
      <w:i w:val="0"/>
      <w:iCs w:val="0"/>
      <w:color w:val="1D1D1B"/>
      <w:sz w:val="14"/>
      <w:szCs w:val="14"/>
    </w:rPr>
  </w:style>
  <w:style w:type="character" w:customStyle="1" w:styleId="fontstyle21">
    <w:name w:val="fontstyle21"/>
    <w:basedOn w:val="DefaultParagraphFont"/>
    <w:rsid w:val="00440343"/>
    <w:rPr>
      <w:rFonts w:ascii="Futura-Book" w:hAnsi="Futura-Book" w:hint="default"/>
      <w:b w:val="0"/>
      <w:bCs w:val="0"/>
      <w:i w:val="0"/>
      <w:iCs w:val="0"/>
      <w:color w:val="1D1D1B"/>
      <w:sz w:val="14"/>
      <w:szCs w:val="14"/>
    </w:rPr>
  </w:style>
  <w:style w:type="character" w:customStyle="1" w:styleId="fontstyle31">
    <w:name w:val="fontstyle31"/>
    <w:basedOn w:val="DefaultParagraphFont"/>
    <w:rsid w:val="00CF45FC"/>
    <w:rPr>
      <w:rFonts w:ascii="Futura" w:hAnsi="Futura" w:hint="default"/>
      <w:b w:val="0"/>
      <w:bCs w:val="0"/>
      <w:i w:val="0"/>
      <w:iCs w:val="0"/>
      <w:color w:val="1D1D1B"/>
      <w:sz w:val="16"/>
      <w:szCs w:val="16"/>
    </w:rPr>
  </w:style>
  <w:style w:type="character" w:styleId="UnresolvedMention">
    <w:name w:val="Unresolved Mention"/>
    <w:basedOn w:val="DefaultParagraphFont"/>
    <w:uiPriority w:val="99"/>
    <w:semiHidden/>
    <w:unhideWhenUsed/>
    <w:rsid w:val="00675A90"/>
    <w:rPr>
      <w:color w:val="605E5C"/>
      <w:shd w:val="clear" w:color="auto" w:fill="E1DFDD"/>
    </w:rPr>
  </w:style>
  <w:style w:type="character" w:styleId="CommentReference">
    <w:name w:val="annotation reference"/>
    <w:basedOn w:val="DefaultParagraphFont"/>
    <w:uiPriority w:val="99"/>
    <w:semiHidden/>
    <w:rsid w:val="003A5FF1"/>
    <w:rPr>
      <w:sz w:val="16"/>
      <w:szCs w:val="16"/>
    </w:rPr>
  </w:style>
  <w:style w:type="paragraph" w:styleId="CommentText">
    <w:name w:val="annotation text"/>
    <w:basedOn w:val="Normal"/>
    <w:link w:val="CommentTextChar"/>
    <w:uiPriority w:val="99"/>
    <w:semiHidden/>
    <w:rsid w:val="003A5FF1"/>
    <w:pPr>
      <w:spacing w:line="240" w:lineRule="auto"/>
    </w:pPr>
  </w:style>
  <w:style w:type="character" w:customStyle="1" w:styleId="CommentTextChar">
    <w:name w:val="Comment Text Char"/>
    <w:basedOn w:val="DefaultParagraphFont"/>
    <w:link w:val="CommentText"/>
    <w:uiPriority w:val="99"/>
    <w:semiHidden/>
    <w:rsid w:val="003A5FF1"/>
  </w:style>
  <w:style w:type="paragraph" w:styleId="CommentSubject">
    <w:name w:val="annotation subject"/>
    <w:basedOn w:val="CommentText"/>
    <w:next w:val="CommentText"/>
    <w:link w:val="CommentSubjectChar"/>
    <w:uiPriority w:val="99"/>
    <w:semiHidden/>
    <w:unhideWhenUsed/>
    <w:rsid w:val="003A5FF1"/>
    <w:rPr>
      <w:b/>
      <w:bCs/>
    </w:rPr>
  </w:style>
  <w:style w:type="character" w:customStyle="1" w:styleId="CommentSubjectChar">
    <w:name w:val="Comment Subject Char"/>
    <w:basedOn w:val="CommentTextChar"/>
    <w:link w:val="CommentSubject"/>
    <w:uiPriority w:val="99"/>
    <w:semiHidden/>
    <w:rsid w:val="003A5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739061841">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637176862">
      <w:bodyDiv w:val="1"/>
      <w:marLeft w:val="0"/>
      <w:marRight w:val="0"/>
      <w:marTop w:val="0"/>
      <w:marBottom w:val="0"/>
      <w:divBdr>
        <w:top w:val="none" w:sz="0" w:space="0" w:color="auto"/>
        <w:left w:val="none" w:sz="0" w:space="0" w:color="auto"/>
        <w:bottom w:val="none" w:sz="0" w:space="0" w:color="auto"/>
        <w:right w:val="none" w:sz="0" w:space="0" w:color="auto"/>
      </w:divBdr>
    </w:div>
    <w:div w:id="20172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ens.s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liens.se/upl/files/191967/historiska-resultatsscenarier-cliens-fonder.pdf?t=737483580" TargetMode="External"/><Relationship Id="rId2" Type="http://schemas.openxmlformats.org/officeDocument/2006/relationships/numbering" Target="numbering.xml"/><Relationship Id="rId16" Type="http://schemas.openxmlformats.org/officeDocument/2006/relationships/hyperlink" Target="https://www.cliens.se/upl/files/190307/tidigare-resultat-cliens-fonder.pdf?t=737483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liens.se/rapporter"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liens.se" TargetMode="External"/><Relationship Id="rId14" Type="http://schemas.openxmlformats.org/officeDocument/2006/relationships/hyperlink" Target="http://www.cliens.se/information-om-klagom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liens_Color">
      <a:dk1>
        <a:sysClr val="windowText" lastClr="000000"/>
      </a:dk1>
      <a:lt1>
        <a:srgbClr val="FFFFFF"/>
      </a:lt1>
      <a:dk2>
        <a:srgbClr val="595959"/>
      </a:dk2>
      <a:lt2>
        <a:srgbClr val="E7E6E6"/>
      </a:lt2>
      <a:accent1>
        <a:srgbClr val="17365D"/>
      </a:accent1>
      <a:accent2>
        <a:srgbClr val="425847"/>
      </a:accent2>
      <a:accent3>
        <a:srgbClr val="6AC17B"/>
      </a:accent3>
      <a:accent4>
        <a:srgbClr val="78CDD1"/>
      </a:accent4>
      <a:accent5>
        <a:srgbClr val="F4961A"/>
      </a:accent5>
      <a:accent6>
        <a:srgbClr val="7497CE"/>
      </a:accent6>
      <a:hlink>
        <a:srgbClr val="17365D"/>
      </a:hlink>
      <a:folHlink>
        <a:srgbClr val="17365D"/>
      </a:folHlink>
    </a:clrScheme>
    <a:fontScheme name="Cliens">
      <a:majorFont>
        <a:latin typeface="Gill Sans Nova Light"/>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8FA6-5AAD-4F14-A49C-4AAFB334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1634</Words>
  <Characters>9446</Characters>
  <Application>Microsoft Office Word</Application>
  <DocSecurity>0</DocSecurity>
  <Lines>248</Lines>
  <Paragraphs>130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KIID Fokus A</vt:lpstr>
      <vt:lpstr>KIID Fokus A</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Cliens Kapitalförvaltning AB</dc:creator>
  <cp:keywords/>
  <dc:description/>
  <cp:lastModifiedBy>Mikael Classon</cp:lastModifiedBy>
  <cp:revision>10</cp:revision>
  <cp:lastPrinted>2022-12-22T10:47:00Z</cp:lastPrinted>
  <dcterms:created xsi:type="dcterms:W3CDTF">2024-01-22T15:57:00Z</dcterms:created>
  <dcterms:modified xsi:type="dcterms:W3CDTF">2025-06-11T13:39:00Z</dcterms:modified>
</cp:coreProperties>
</file>